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9EC" w:rsidRPr="001B14CC"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9960D2">
        <w:rPr>
          <w:rFonts w:ascii="Arial" w:eastAsia="바탕" w:hAnsi="Arial" w:cs="Arial"/>
          <w:b/>
          <w:bCs/>
          <w:snapToGrid w:val="0"/>
          <w:sz w:val="24"/>
          <w:szCs w:val="24"/>
          <w:lang w:val="en-GB"/>
        </w:rPr>
        <w:t>6</w:t>
      </w:r>
      <w:r w:rsidR="002A78F2">
        <w:rPr>
          <w:rFonts w:ascii="Arial" w:eastAsia="바탕" w:hAnsi="Arial" w:cs="Arial"/>
          <w:b/>
          <w:bCs/>
          <w:snapToGrid w:val="0"/>
          <w:sz w:val="24"/>
          <w:szCs w:val="24"/>
          <w:lang w:val="en-GB"/>
        </w:rPr>
        <w:t>bis</w:t>
      </w:r>
      <w:bookmarkStart w:id="2" w:name="_GoBack"/>
      <w:bookmarkEnd w:id="2"/>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50354D" w:rsidRPr="0050354D">
        <w:rPr>
          <w:rFonts w:ascii="Arial" w:eastAsia="바탕" w:hAnsi="Arial" w:cs="Arial"/>
          <w:b/>
          <w:bCs/>
          <w:snapToGrid w:val="0"/>
          <w:sz w:val="24"/>
          <w:szCs w:val="24"/>
          <w:lang w:val="en-GB"/>
        </w:rPr>
        <w:t>24</w:t>
      </w:r>
      <w:r w:rsidR="00381AC4" w:rsidRPr="00381AC4">
        <w:rPr>
          <w:rFonts w:ascii="Arial" w:eastAsia="바탕" w:hAnsi="Arial" w:cs="Arial"/>
          <w:b/>
          <w:bCs/>
          <w:snapToGrid w:val="0"/>
          <w:sz w:val="24"/>
          <w:szCs w:val="24"/>
          <w:lang w:val="en-GB"/>
        </w:rPr>
        <w:t>02815</w:t>
      </w:r>
    </w:p>
    <w:p w:rsidR="00C109EC" w:rsidRPr="008B2BE5" w:rsidRDefault="00381AC4"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hint="eastAsia"/>
          <w:b/>
          <w:bCs/>
          <w:snapToGrid w:val="0"/>
          <w:sz w:val="24"/>
          <w:szCs w:val="24"/>
          <w:lang w:val="en-GB"/>
        </w:rPr>
        <w:t>April</w:t>
      </w:r>
      <w:r w:rsidR="00E911C4">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15</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19</w:t>
      </w:r>
      <w:r w:rsidR="00C109EC" w:rsidRPr="008B2BE5">
        <w:rPr>
          <w:rFonts w:ascii="Arial" w:eastAsia="바탕" w:hAnsi="Arial" w:cs="Arial"/>
          <w:b/>
          <w:bCs/>
          <w:snapToGrid w:val="0"/>
          <w:sz w:val="24"/>
          <w:szCs w:val="24"/>
          <w:lang w:val="en-GB"/>
        </w:rPr>
        <w:t>, 202</w:t>
      </w:r>
      <w:r w:rsidR="009960D2">
        <w:rPr>
          <w:rFonts w:ascii="Arial" w:eastAsia="바탕" w:hAnsi="Arial" w:cs="Arial"/>
          <w:b/>
          <w:bCs/>
          <w:snapToGrid w:val="0"/>
          <w:sz w:val="24"/>
          <w:szCs w:val="24"/>
          <w:lang w:val="en-GB"/>
        </w:rPr>
        <w:t>4</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9960D2">
        <w:rPr>
          <w:rFonts w:ascii="Arial" w:eastAsia="바탕" w:hAnsi="Arial" w:cs="Arial"/>
          <w:snapToGrid w:val="0"/>
          <w:sz w:val="24"/>
          <w:szCs w:val="24"/>
        </w:rPr>
        <w:t>7</w:t>
      </w:r>
      <w:r w:rsidRPr="008B2BE5">
        <w:rPr>
          <w:rFonts w:ascii="Arial" w:eastAsia="바탕" w:hAnsi="Arial" w:cs="Arial"/>
          <w:snapToGrid w:val="0"/>
          <w:sz w:val="24"/>
          <w:szCs w:val="24"/>
        </w:rPr>
        <w:t>.</w:t>
      </w:r>
      <w:r w:rsidR="002400AB">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9960D2" w:rsidRPr="009960D2">
        <w:rPr>
          <w:rFonts w:ascii="Arial" w:eastAsia="바탕" w:hAnsi="Arial" w:cs="Arial"/>
          <w:snapToGrid w:val="0"/>
          <w:sz w:val="24"/>
          <w:szCs w:val="24"/>
        </w:rPr>
        <w:t xml:space="preserve">ISAC </w:t>
      </w:r>
      <w:r w:rsidR="002400AB">
        <w:rPr>
          <w:rFonts w:ascii="Arial" w:eastAsia="바탕" w:hAnsi="Arial" w:cs="Arial" w:hint="eastAsia"/>
          <w:snapToGrid w:val="0"/>
          <w:sz w:val="24"/>
          <w:szCs w:val="24"/>
        </w:rPr>
        <w:t>deployment scenarios</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following</w:t>
      </w:r>
      <w:r>
        <w:rPr>
          <w:rFonts w:ascii="Calibri" w:eastAsia="바탕" w:hAnsi="Calibri" w:cs="Calibri"/>
          <w:sz w:val="22"/>
        </w:rPr>
        <w:t xml:space="preserve"> </w:t>
      </w:r>
      <w:r w:rsidR="00862308">
        <w:rPr>
          <w:rFonts w:ascii="Calibri" w:eastAsia="바탕" w:hAnsi="Calibri" w:cs="Calibri"/>
          <w:sz w:val="22"/>
        </w:rPr>
        <w:t>agreement</w:t>
      </w:r>
      <w:r>
        <w:rPr>
          <w:rFonts w:ascii="Calibri" w:eastAsia="바탕" w:hAnsi="Calibri" w:cs="Calibri"/>
          <w:sz w:val="22"/>
        </w:rPr>
        <w:t xml:space="preserve">s </w:t>
      </w:r>
      <w:r w:rsidR="00862308">
        <w:rPr>
          <w:rFonts w:ascii="Calibri" w:eastAsia="바탕" w:hAnsi="Calibri" w:cs="Calibri"/>
          <w:sz w:val="22"/>
        </w:rPr>
        <w:t>were made in RAN1#116 meeting</w:t>
      </w:r>
      <w:r>
        <w:rPr>
          <w:rFonts w:ascii="Calibri" w:eastAsia="바탕" w:hAnsi="Calibri" w:cs="Calibri"/>
          <w:sz w:val="22"/>
        </w:rPr>
        <w:t>.</w:t>
      </w:r>
    </w:p>
    <w:tbl>
      <w:tblPr>
        <w:tblStyle w:val="aa"/>
        <w:tblW w:w="0" w:type="auto"/>
        <w:tblLook w:val="04A0" w:firstRow="1" w:lastRow="0" w:firstColumn="1" w:lastColumn="0" w:noHBand="0" w:noVBand="1"/>
      </w:tblPr>
      <w:tblGrid>
        <w:gridCol w:w="9362"/>
      </w:tblGrid>
      <w:tr w:rsidR="00FC3A33" w:rsidTr="00FC3A33">
        <w:tc>
          <w:tcPr>
            <w:tcW w:w="9362" w:type="dxa"/>
          </w:tcPr>
          <w:p w:rsidR="00862308" w:rsidRPr="00862308" w:rsidRDefault="00862308" w:rsidP="00862308">
            <w:pPr>
              <w:widowControl/>
              <w:wordWrap/>
              <w:autoSpaceDE/>
              <w:autoSpaceDN/>
              <w:ind w:left="1134" w:hanging="1134"/>
              <w:jc w:val="left"/>
              <w:rPr>
                <w:rFonts w:ascii="Times" w:hAnsi="Times"/>
                <w:szCs w:val="24"/>
                <w:highlight w:val="green"/>
                <w:lang w:val="en-GB" w:eastAsia="en-US"/>
              </w:rPr>
            </w:pPr>
            <w:r w:rsidRPr="00862308">
              <w:rPr>
                <w:rFonts w:ascii="Times" w:hAnsi="Times"/>
                <w:szCs w:val="24"/>
                <w:highlight w:val="green"/>
                <w:lang w:val="en-GB" w:eastAsia="en-US"/>
              </w:rPr>
              <w:t>Agreement</w:t>
            </w:r>
          </w:p>
          <w:p w:rsidR="00862308" w:rsidRPr="00862308" w:rsidRDefault="00862308" w:rsidP="00862308">
            <w:pPr>
              <w:widowControl/>
              <w:wordWrap/>
              <w:autoSpaceDE/>
              <w:autoSpaceDN/>
              <w:jc w:val="left"/>
              <w:rPr>
                <w:rFonts w:ascii="Times" w:hAnsi="Times"/>
                <w:szCs w:val="24"/>
                <w:lang w:val="en-GB" w:eastAsia="x-none"/>
              </w:rPr>
            </w:pPr>
            <w:r w:rsidRPr="00862308">
              <w:rPr>
                <w:rFonts w:ascii="Times" w:hAnsi="Times"/>
                <w:szCs w:val="24"/>
                <w:lang w:val="en-GB" w:eastAsia="x-none"/>
              </w:rPr>
              <w:t>For progressing ISAC study, the following sensing targets and existing communication scenarios will be considered as a starting point:</w:t>
            </w:r>
          </w:p>
          <w:p w:rsidR="00862308" w:rsidRPr="00862308" w:rsidRDefault="00862308" w:rsidP="00862308">
            <w:pPr>
              <w:widowControl/>
              <w:numPr>
                <w:ilvl w:val="0"/>
                <w:numId w:val="33"/>
              </w:numPr>
              <w:wordWrap/>
              <w:autoSpaceDE/>
              <w:autoSpaceDN/>
              <w:jc w:val="left"/>
              <w:rPr>
                <w:rFonts w:ascii="Times" w:hAnsi="Times"/>
                <w:szCs w:val="24"/>
                <w:lang w:val="en-GB" w:eastAsia="x-none"/>
              </w:rPr>
            </w:pPr>
            <w:r w:rsidRPr="00862308">
              <w:rPr>
                <w:rFonts w:ascii="Times" w:hAnsi="Times" w:hint="eastAsia"/>
                <w:szCs w:val="24"/>
                <w:lang w:val="en-GB" w:eastAsia="x-none"/>
              </w:rPr>
              <w:t>N</w:t>
            </w:r>
            <w:r w:rsidRPr="00862308">
              <w:rPr>
                <w:rFonts w:ascii="Times" w:hAnsi="Times"/>
                <w:szCs w:val="24"/>
                <w:lang w:val="en-GB" w:eastAsia="x-none"/>
              </w:rPr>
              <w:t>ote1: the table below does not imply that the sensing target will be placed at positions defined for UEs and BSs in the scenarios in the right column.</w:t>
            </w:r>
          </w:p>
          <w:p w:rsidR="00862308" w:rsidRPr="00862308" w:rsidRDefault="00862308" w:rsidP="00862308">
            <w:pPr>
              <w:widowControl/>
              <w:numPr>
                <w:ilvl w:val="0"/>
                <w:numId w:val="33"/>
              </w:numPr>
              <w:wordWrap/>
              <w:autoSpaceDE/>
              <w:autoSpaceDN/>
              <w:jc w:val="left"/>
              <w:rPr>
                <w:rFonts w:ascii="Times" w:hAnsi="Times"/>
                <w:szCs w:val="24"/>
                <w:lang w:val="en-GB" w:eastAsia="x-none"/>
              </w:rPr>
            </w:pPr>
            <w:r w:rsidRPr="00862308">
              <w:rPr>
                <w:rFonts w:ascii="Times" w:hAnsi="Times"/>
                <w:szCs w:val="24"/>
                <w:lang w:val="en-GB" w:eastAsia="x-none"/>
              </w:rPr>
              <w:t>Note2: the table below does not imply that UEs are necessarily placed at positions defined for UEs in the scenarios in the right column.</w:t>
            </w:r>
          </w:p>
          <w:p w:rsidR="00862308" w:rsidRPr="00862308" w:rsidRDefault="00862308" w:rsidP="00862308">
            <w:pPr>
              <w:widowControl/>
              <w:numPr>
                <w:ilvl w:val="0"/>
                <w:numId w:val="33"/>
              </w:numPr>
              <w:wordWrap/>
              <w:autoSpaceDE/>
              <w:autoSpaceDN/>
              <w:jc w:val="left"/>
              <w:rPr>
                <w:rFonts w:ascii="Times" w:hAnsi="Times"/>
                <w:szCs w:val="24"/>
                <w:lang w:val="en-GB" w:eastAsia="x-none"/>
              </w:rPr>
            </w:pPr>
            <w:r w:rsidRPr="00862308">
              <w:rPr>
                <w:rFonts w:ascii="Times" w:hAnsi="Times" w:hint="eastAsia"/>
                <w:szCs w:val="24"/>
                <w:lang w:val="en-GB" w:eastAsia="x-none"/>
              </w:rPr>
              <w:t>N</w:t>
            </w:r>
            <w:r w:rsidRPr="00862308">
              <w:rPr>
                <w:rFonts w:ascii="Times" w:hAnsi="Times"/>
                <w:szCs w:val="24"/>
                <w:lang w:val="en-GB" w:eastAsia="x-none"/>
              </w:rPr>
              <w:t>ote3: the existing communication scenarios are listed with the intent to use the evaluation parameters defined for those scenarios, as a starting point.</w:t>
            </w:r>
          </w:p>
          <w:p w:rsidR="00862308" w:rsidRPr="00862308" w:rsidRDefault="00862308" w:rsidP="00862308">
            <w:pPr>
              <w:widowControl/>
              <w:wordWrap/>
              <w:autoSpaceDE/>
              <w:autoSpaceDN/>
              <w:ind w:left="720"/>
              <w:jc w:val="left"/>
              <w:textAlignment w:val="baseline"/>
              <w:rPr>
                <w:rFonts w:ascii="Times" w:hAnsi="Times"/>
                <w:b/>
                <w:szCs w:val="24"/>
                <w:lang w:val="en-GB" w:eastAsia="en-US"/>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862308" w:rsidRPr="00862308" w:rsidTr="0044147E">
              <w:tc>
                <w:tcPr>
                  <w:tcW w:w="4426" w:type="dxa"/>
                  <w:tcBorders>
                    <w:top w:val="single" w:sz="4" w:space="0" w:color="000000"/>
                    <w:left w:val="single" w:sz="4" w:space="0" w:color="000000"/>
                    <w:bottom w:val="single" w:sz="4" w:space="0" w:color="000000"/>
                    <w:right w:val="single" w:sz="4" w:space="0" w:color="000000"/>
                  </w:tcBorders>
                  <w:shd w:val="clear" w:color="auto" w:fill="D0CECE"/>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
                      <w:kern w:val="0"/>
                      <w:szCs w:val="24"/>
                      <w:lang w:val="en-GB" w:eastAsia="en-US"/>
                    </w:rPr>
                  </w:pPr>
                  <w:r w:rsidRPr="00862308">
                    <w:rPr>
                      <w:rFonts w:ascii="Times" w:eastAsia="바탕" w:hAnsi="Times" w:cs="Times New Roman"/>
                      <w:b/>
                      <w:kern w:val="0"/>
                      <w:szCs w:val="24"/>
                      <w:lang w:val="en-GB" w:eastAsia="en-US"/>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
                      <w:kern w:val="0"/>
                      <w:szCs w:val="24"/>
                      <w:lang w:val="en-GB" w:eastAsia="en-US"/>
                    </w:rPr>
                  </w:pPr>
                  <w:r w:rsidRPr="00862308">
                    <w:rPr>
                      <w:rFonts w:ascii="Times" w:eastAsia="바탕" w:hAnsi="Times" w:cs="Times New Roman"/>
                      <w:b/>
                      <w:kern w:val="0"/>
                      <w:szCs w:val="24"/>
                      <w:lang w:val="en-GB" w:eastAsia="en-US"/>
                    </w:rPr>
                    <w:t xml:space="preserve">scenarios </w:t>
                  </w:r>
                </w:p>
              </w:tc>
            </w:tr>
            <w:tr w:rsidR="00862308" w:rsidRPr="00862308" w:rsidTr="0044147E">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sv-SE" w:eastAsia="en-US"/>
                    </w:rPr>
                  </w:pPr>
                  <w:r w:rsidRPr="00862308">
                    <w:rPr>
                      <w:rFonts w:ascii="Times" w:eastAsia="바탕" w:hAnsi="Times" w:cs="Times New Roman"/>
                      <w:bCs/>
                      <w:kern w:val="0"/>
                      <w:szCs w:val="24"/>
                      <w:lang w:val="sv-SE" w:eastAsia="en-US"/>
                    </w:rPr>
                    <w:t xml:space="preserve">RMa-AV, UMa-AV, UMi-AV (TR 36.777) </w:t>
                  </w:r>
                </w:p>
              </w:tc>
            </w:tr>
            <w:tr w:rsidR="00862308" w:rsidRPr="00862308" w:rsidTr="0044147E">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InF, Indoor Office, [Indoor Room (TR 38.808)], [UMi, UMa]</w:t>
                  </w:r>
                </w:p>
              </w:tc>
            </w:tr>
            <w:tr w:rsidR="00862308" w:rsidRPr="00862308" w:rsidTr="0044147E">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UMi, UMa, [</w:t>
                  </w:r>
                  <w:r w:rsidRPr="00862308">
                    <w:rPr>
                      <w:rFonts w:ascii="Times" w:eastAsia="바탕" w:hAnsi="Times" w:cs="Times New Roman"/>
                      <w:bCs/>
                      <w:kern w:val="0"/>
                      <w:szCs w:val="24"/>
                      <w:lang w:val="sv-SE" w:eastAsia="en-US"/>
                    </w:rPr>
                    <w:t>RMa]</w:t>
                  </w:r>
                </w:p>
              </w:tc>
            </w:tr>
            <w:tr w:rsidR="00862308" w:rsidRPr="00862308" w:rsidTr="0044147E">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Highway, Urban grid, UMa, UMi, RMa</w:t>
                  </w:r>
                </w:p>
              </w:tc>
            </w:tr>
            <w:tr w:rsidR="00862308" w:rsidRPr="00862308" w:rsidTr="0044147E">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InF</w:t>
                  </w:r>
                </w:p>
              </w:tc>
            </w:tr>
            <w:tr w:rsidR="00862308" w:rsidRPr="00862308" w:rsidTr="0044147E">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862308" w:rsidRPr="00862308" w:rsidRDefault="00862308" w:rsidP="00862308">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862308">
                    <w:rPr>
                      <w:rFonts w:ascii="Times" w:eastAsia="바탕" w:hAnsi="Times" w:cs="Times New Roman"/>
                      <w:bCs/>
                      <w:kern w:val="0"/>
                      <w:szCs w:val="24"/>
                      <w:lang w:val="en-GB" w:eastAsia="en-US"/>
                    </w:rPr>
                    <w:t>Highway, Urban grid, HST</w:t>
                  </w:r>
                </w:p>
              </w:tc>
            </w:tr>
          </w:tbl>
          <w:p w:rsidR="00862308" w:rsidRPr="00862308" w:rsidRDefault="00862308" w:rsidP="00862308">
            <w:pPr>
              <w:widowControl/>
              <w:wordWrap/>
              <w:autoSpaceDE/>
              <w:autoSpaceDN/>
              <w:jc w:val="left"/>
              <w:rPr>
                <w:rFonts w:ascii="Times" w:hAnsi="Times"/>
                <w:szCs w:val="24"/>
                <w:lang w:val="en-GB" w:eastAsia="en-US"/>
              </w:rPr>
            </w:pPr>
          </w:p>
          <w:p w:rsidR="00862308" w:rsidRPr="00862308" w:rsidRDefault="00862308" w:rsidP="00862308">
            <w:pPr>
              <w:widowControl/>
              <w:wordWrap/>
              <w:autoSpaceDE/>
              <w:autoSpaceDN/>
              <w:ind w:left="1134" w:hanging="1134"/>
              <w:jc w:val="left"/>
              <w:rPr>
                <w:rFonts w:ascii="Times" w:hAnsi="Times"/>
                <w:szCs w:val="24"/>
                <w:lang w:val="en-GB" w:eastAsia="en-US"/>
              </w:rPr>
            </w:pPr>
            <w:r w:rsidRPr="00862308">
              <w:rPr>
                <w:rFonts w:ascii="Times" w:hAnsi="Times"/>
                <w:szCs w:val="24"/>
                <w:highlight w:val="green"/>
                <w:lang w:val="en-GB" w:eastAsia="en-US"/>
              </w:rPr>
              <w:t>Agreement</w:t>
            </w:r>
          </w:p>
          <w:p w:rsidR="00862308" w:rsidRPr="00862308" w:rsidRDefault="00862308" w:rsidP="00862308">
            <w:pPr>
              <w:widowControl/>
              <w:wordWrap/>
              <w:autoSpaceDE/>
              <w:autoSpaceDN/>
              <w:jc w:val="left"/>
              <w:rPr>
                <w:rFonts w:ascii="Times" w:hAnsi="Times"/>
                <w:szCs w:val="24"/>
                <w:lang w:val="en-GB" w:eastAsia="en-US"/>
              </w:rPr>
            </w:pPr>
            <w:r w:rsidRPr="00862308">
              <w:rPr>
                <w:rFonts w:ascii="Times" w:hAnsi="Times"/>
                <w:szCs w:val="24"/>
                <w:lang w:val="en-GB" w:eastAsia="en-US"/>
              </w:rPr>
              <w:t xml:space="preserve">For ISAC channel modelling, RAN1 uses the sensing related terminology as defined in TS22.137 or TR22.837 as a starting point for discussion purposes with the following definitions: </w:t>
            </w:r>
          </w:p>
          <w:p w:rsidR="00862308" w:rsidRPr="00862308" w:rsidRDefault="00862308" w:rsidP="00862308">
            <w:pPr>
              <w:widowControl/>
              <w:wordWrap/>
              <w:autoSpaceDE/>
              <w:autoSpaceDN/>
              <w:ind w:left="1134" w:hanging="1134"/>
              <w:jc w:val="left"/>
              <w:rPr>
                <w:rFonts w:ascii="Times" w:hAnsi="Times"/>
                <w:b/>
                <w:szCs w:val="24"/>
                <w:lang w:val="en-GB" w:eastAsia="zh-CN"/>
              </w:rPr>
            </w:pPr>
          </w:p>
          <w:p w:rsidR="00862308" w:rsidRPr="00862308" w:rsidRDefault="00862308" w:rsidP="00862308">
            <w:pPr>
              <w:widowControl/>
              <w:numPr>
                <w:ilvl w:val="0"/>
                <w:numId w:val="34"/>
              </w:numPr>
              <w:suppressAutoHyphens/>
              <w:wordWrap/>
              <w:autoSpaceDE/>
              <w:autoSpaceDN/>
              <w:jc w:val="left"/>
              <w:rPr>
                <w:rFonts w:ascii="Times" w:hAnsi="Times"/>
                <w:szCs w:val="24"/>
                <w:lang w:val="en-GB" w:eastAsia="zh-CN"/>
              </w:rPr>
            </w:pPr>
            <w:r w:rsidRPr="00862308">
              <w:rPr>
                <w:rFonts w:ascii="Times" w:hAnsi="Times"/>
                <w:szCs w:val="24"/>
                <w:lang w:val="en-GB" w:eastAsia="zh-CN"/>
              </w:rPr>
              <w:t>Sensing transmitter: the TRP or a UE</w:t>
            </w:r>
            <w:r w:rsidRPr="00862308" w:rsidDel="000508EF">
              <w:rPr>
                <w:rFonts w:ascii="Times" w:hAnsi="Times"/>
                <w:szCs w:val="24"/>
                <w:lang w:val="en-GB" w:eastAsia="zh-CN"/>
              </w:rPr>
              <w:t xml:space="preserve"> </w:t>
            </w:r>
            <w:r w:rsidRPr="00862308">
              <w:rPr>
                <w:rFonts w:ascii="Times" w:hAnsi="Times"/>
                <w:szCs w:val="24"/>
                <w:lang w:val="en-GB" w:eastAsia="zh-CN"/>
              </w:rPr>
              <w:t>that sends out the sensing signal which the sensing service will use in its operation. A sensing transmitter can be located in the same or different TRP or a UE</w:t>
            </w:r>
            <w:r w:rsidRPr="00862308" w:rsidDel="00F66A07">
              <w:rPr>
                <w:rFonts w:ascii="Times" w:hAnsi="Times"/>
                <w:szCs w:val="24"/>
                <w:lang w:val="en-GB" w:eastAsia="zh-CN"/>
              </w:rPr>
              <w:t xml:space="preserve"> </w:t>
            </w:r>
            <w:r w:rsidRPr="00862308">
              <w:rPr>
                <w:rFonts w:ascii="Times" w:hAnsi="Times"/>
                <w:szCs w:val="24"/>
                <w:lang w:val="en-GB" w:eastAsia="zh-CN"/>
              </w:rPr>
              <w:t>as the sensing receiver.</w:t>
            </w:r>
          </w:p>
          <w:p w:rsidR="00862308" w:rsidRPr="00862308" w:rsidRDefault="00862308" w:rsidP="00862308">
            <w:pPr>
              <w:widowControl/>
              <w:numPr>
                <w:ilvl w:val="0"/>
                <w:numId w:val="34"/>
              </w:numPr>
              <w:suppressAutoHyphens/>
              <w:wordWrap/>
              <w:autoSpaceDE/>
              <w:autoSpaceDN/>
              <w:jc w:val="left"/>
              <w:rPr>
                <w:rFonts w:ascii="Times" w:hAnsi="Times"/>
                <w:szCs w:val="24"/>
                <w:lang w:val="en-GB" w:eastAsia="zh-CN"/>
              </w:rPr>
            </w:pPr>
            <w:r w:rsidRPr="00862308">
              <w:rPr>
                <w:rFonts w:ascii="Times" w:hAnsi="Times"/>
                <w:szCs w:val="24"/>
                <w:lang w:val="en-GB" w:eastAsia="zh-CN"/>
              </w:rPr>
              <w:t>Sensing receiver: the TRP or a UE</w:t>
            </w:r>
            <w:r w:rsidRPr="00862308" w:rsidDel="000508EF">
              <w:rPr>
                <w:rFonts w:ascii="Times" w:hAnsi="Times"/>
                <w:szCs w:val="24"/>
                <w:lang w:val="en-GB" w:eastAsia="zh-CN"/>
              </w:rPr>
              <w:t xml:space="preserve"> </w:t>
            </w:r>
            <w:r w:rsidRPr="00862308">
              <w:rPr>
                <w:rFonts w:ascii="Times" w:hAnsi="Times"/>
                <w:szCs w:val="24"/>
                <w:lang w:val="en-GB" w:eastAsia="zh-CN"/>
              </w:rPr>
              <w:t>that receives the sensing signal which the sensing service will use in its operation. A sensing receiver can be located in the same or different TRP or a UE</w:t>
            </w:r>
            <w:r w:rsidRPr="00862308" w:rsidDel="000508EF">
              <w:rPr>
                <w:rFonts w:ascii="Times" w:hAnsi="Times"/>
                <w:szCs w:val="24"/>
                <w:lang w:val="en-GB" w:eastAsia="zh-CN"/>
              </w:rPr>
              <w:t xml:space="preserve"> </w:t>
            </w:r>
            <w:r w:rsidRPr="00862308">
              <w:rPr>
                <w:rFonts w:ascii="Times" w:hAnsi="Times"/>
                <w:szCs w:val="24"/>
                <w:lang w:val="en-GB" w:eastAsia="zh-CN"/>
              </w:rPr>
              <w:t>as the sensing transmitter.</w:t>
            </w:r>
          </w:p>
          <w:p w:rsidR="00862308" w:rsidRPr="00862308" w:rsidRDefault="00862308" w:rsidP="00862308">
            <w:pPr>
              <w:widowControl/>
              <w:numPr>
                <w:ilvl w:val="0"/>
                <w:numId w:val="34"/>
              </w:numPr>
              <w:suppressAutoHyphens/>
              <w:wordWrap/>
              <w:autoSpaceDE/>
              <w:autoSpaceDN/>
              <w:jc w:val="left"/>
              <w:rPr>
                <w:rFonts w:ascii="Times" w:hAnsi="Times"/>
                <w:szCs w:val="24"/>
                <w:lang w:val="en-GB" w:eastAsia="zh-CN"/>
              </w:rPr>
            </w:pPr>
            <w:r w:rsidRPr="00862308">
              <w:rPr>
                <w:rFonts w:ascii="Times" w:hAnsi="Times"/>
                <w:szCs w:val="24"/>
                <w:lang w:val="en-GB" w:eastAsia="zh-CN"/>
              </w:rPr>
              <w:t>Sensing target: target that need to be sensed by deriving characteristics of the objects within the environment from the sensing signal.</w:t>
            </w:r>
          </w:p>
          <w:p w:rsidR="00862308" w:rsidRPr="00862308" w:rsidRDefault="00862308" w:rsidP="00862308">
            <w:pPr>
              <w:widowControl/>
              <w:numPr>
                <w:ilvl w:val="0"/>
                <w:numId w:val="34"/>
              </w:numPr>
              <w:suppressAutoHyphens/>
              <w:wordWrap/>
              <w:autoSpaceDE/>
              <w:autoSpaceDN/>
              <w:jc w:val="left"/>
              <w:rPr>
                <w:rFonts w:ascii="Times" w:hAnsi="Times"/>
                <w:szCs w:val="24"/>
                <w:lang w:val="en-GB" w:eastAsia="zh-CN"/>
              </w:rPr>
            </w:pPr>
            <w:r w:rsidRPr="00862308">
              <w:rPr>
                <w:rFonts w:ascii="Times" w:hAnsi="Times"/>
                <w:szCs w:val="24"/>
                <w:lang w:val="en-GB" w:eastAsia="zh-CN"/>
              </w:rPr>
              <w:t>Background environment: background (clutter and/or environmental objects) that are not the sensing target(s).</w:t>
            </w:r>
          </w:p>
          <w:p w:rsidR="00862308" w:rsidRPr="00862308" w:rsidRDefault="00862308" w:rsidP="00862308">
            <w:pPr>
              <w:widowControl/>
              <w:numPr>
                <w:ilvl w:val="0"/>
                <w:numId w:val="34"/>
              </w:numPr>
              <w:suppressAutoHyphens/>
              <w:wordWrap/>
              <w:autoSpaceDE/>
              <w:autoSpaceDN/>
              <w:jc w:val="left"/>
              <w:rPr>
                <w:rFonts w:ascii="Times" w:hAnsi="Times"/>
                <w:szCs w:val="24"/>
                <w:lang w:val="en-GB" w:eastAsia="zh-CN"/>
              </w:rPr>
            </w:pPr>
            <w:r w:rsidRPr="00862308">
              <w:rPr>
                <w:rFonts w:ascii="Times" w:hAnsi="Times"/>
                <w:szCs w:val="24"/>
                <w:lang w:val="en-GB" w:eastAsia="zh-CN"/>
              </w:rPr>
              <w:t xml:space="preserve">Mono-static sensing: sensing where the sensing transmitter and sensing receiver are co-located in the same TRP or UE.  </w:t>
            </w:r>
          </w:p>
          <w:p w:rsidR="00862308" w:rsidRPr="00862308" w:rsidRDefault="00862308" w:rsidP="00862308">
            <w:pPr>
              <w:widowControl/>
              <w:numPr>
                <w:ilvl w:val="0"/>
                <w:numId w:val="34"/>
              </w:numPr>
              <w:suppressAutoHyphens/>
              <w:wordWrap/>
              <w:autoSpaceDE/>
              <w:autoSpaceDN/>
              <w:jc w:val="left"/>
              <w:rPr>
                <w:rFonts w:ascii="Times" w:hAnsi="Times"/>
                <w:szCs w:val="24"/>
                <w:lang w:val="en-GB" w:eastAsia="zh-CN"/>
              </w:rPr>
            </w:pPr>
            <w:r w:rsidRPr="00862308">
              <w:rPr>
                <w:rFonts w:ascii="Times" w:hAnsi="Times"/>
                <w:szCs w:val="24"/>
                <w:lang w:val="en-GB" w:eastAsia="zh-CN"/>
              </w:rPr>
              <w:t xml:space="preserve">Bi-static sensing: sensing where the sensing transmitter and sensing receiver are in different TRPs or UEs. </w:t>
            </w:r>
          </w:p>
          <w:p w:rsidR="00862308" w:rsidRPr="00862308" w:rsidRDefault="00862308" w:rsidP="00862308">
            <w:pPr>
              <w:widowControl/>
              <w:numPr>
                <w:ilvl w:val="0"/>
                <w:numId w:val="34"/>
              </w:numPr>
              <w:suppressAutoHyphens/>
              <w:wordWrap/>
              <w:autoSpaceDE/>
              <w:autoSpaceDN/>
              <w:jc w:val="left"/>
              <w:rPr>
                <w:rFonts w:ascii="Times" w:hAnsi="Times"/>
                <w:szCs w:val="24"/>
                <w:lang w:val="en-GB" w:eastAsia="zh-CN"/>
              </w:rPr>
            </w:pPr>
            <w:r w:rsidRPr="00862308">
              <w:rPr>
                <w:rFonts w:ascii="Times" w:hAnsi="Times"/>
                <w:szCs w:val="24"/>
                <w:lang w:val="en-GB" w:eastAsia="zh-CN"/>
              </w:rPr>
              <w:t>Multi-static sensing: sensing where there are multiple sensing transmitters and/or multiple sensing receivers, for a sensing target.</w:t>
            </w:r>
          </w:p>
          <w:p w:rsidR="00862308" w:rsidRPr="00862308" w:rsidRDefault="00862308" w:rsidP="00862308">
            <w:pPr>
              <w:widowControl/>
              <w:numPr>
                <w:ilvl w:val="0"/>
                <w:numId w:val="34"/>
              </w:numPr>
              <w:suppressAutoHyphens/>
              <w:wordWrap/>
              <w:autoSpaceDE/>
              <w:autoSpaceDN/>
              <w:jc w:val="left"/>
              <w:rPr>
                <w:rFonts w:ascii="Times" w:hAnsi="Times"/>
                <w:szCs w:val="24"/>
                <w:lang w:val="en-GB" w:eastAsia="zh-CN"/>
              </w:rPr>
            </w:pPr>
            <w:r w:rsidRPr="00862308">
              <w:rPr>
                <w:rFonts w:ascii="Times" w:hAnsi="Times"/>
                <w:szCs w:val="24"/>
                <w:lang w:val="en-GB" w:eastAsia="zh-CN"/>
              </w:rPr>
              <w:t>Sensing signal: Transmissions on the 3GPP radio interface that can be used for sensing purposes.</w:t>
            </w:r>
          </w:p>
          <w:p w:rsidR="00FC3A33" w:rsidRPr="00862308" w:rsidRDefault="00FC3A33" w:rsidP="00FC3A33">
            <w:pPr>
              <w:rPr>
                <w:bCs/>
                <w:lang w:val="en-GB"/>
              </w:rPr>
            </w:pPr>
          </w:p>
        </w:tc>
      </w:tr>
    </w:tbl>
    <w:p w:rsidR="00FC3A33" w:rsidRPr="00FC3A33"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Pr>
          <w:rFonts w:ascii="Calibri" w:eastAsia="바탕" w:hAnsi="Calibri" w:cs="Calibri"/>
          <w:sz w:val="22"/>
        </w:rPr>
        <w:t xml:space="preserve"> the deployment scenarios for the ISAC channel modeling</w:t>
      </w:r>
      <w:r w:rsidRPr="008B2BE5">
        <w:rPr>
          <w:rFonts w:ascii="Calibri" w:eastAsia="바탕" w:hAnsi="Calibri" w:cs="Calibri"/>
          <w:sz w:val="22"/>
        </w:rPr>
        <w:t>.</w:t>
      </w:r>
    </w:p>
    <w:p w:rsidR="00C109EC" w:rsidRDefault="00FC3A33"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Discussions</w:t>
      </w:r>
    </w:p>
    <w:p w:rsidR="002A5661" w:rsidRDefault="002A5661" w:rsidP="009C7D4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r w:rsidR="006727D7">
        <w:rPr>
          <w:rFonts w:ascii="Calibri" w:eastAsia="바탕" w:hAnsi="Calibri" w:cs="Calibri"/>
          <w:sz w:val="22"/>
        </w:rPr>
        <w:t>SNR</w:t>
      </w:r>
      <w:r>
        <w:rPr>
          <w:rFonts w:ascii="Calibri" w:eastAsia="바탕" w:hAnsi="Calibri" w:cs="Calibri"/>
          <w:sz w:val="22"/>
        </w:rPr>
        <w:t xml:space="preserve"> of the received sensing signal can be one of the metric for performance comparison between monostatic and bistatic sensing. The </w:t>
      </w:r>
      <w:r w:rsidR="006727D7">
        <w:rPr>
          <w:rFonts w:ascii="Calibri" w:eastAsia="바탕" w:hAnsi="Calibri" w:cs="Calibri"/>
          <w:sz w:val="22"/>
        </w:rPr>
        <w:t>pathloss</w:t>
      </w:r>
      <w:r>
        <w:rPr>
          <w:rFonts w:ascii="Calibri" w:eastAsia="바탕" w:hAnsi="Calibri" w:cs="Calibri"/>
          <w:sz w:val="22"/>
        </w:rPr>
        <w:t xml:space="preserve"> of the monostatic sensing is proportional to the 4</w:t>
      </w:r>
      <w:r w:rsidRPr="002A5661">
        <w:rPr>
          <w:rFonts w:ascii="Calibri" w:eastAsia="바탕" w:hAnsi="Calibri" w:cs="Calibri"/>
          <w:sz w:val="22"/>
          <w:vertAlign w:val="superscript"/>
        </w:rPr>
        <w:t>th</w:t>
      </w:r>
      <w:r>
        <w:rPr>
          <w:rFonts w:ascii="Calibri" w:eastAsia="바탕" w:hAnsi="Calibri" w:cs="Calibri"/>
          <w:sz w:val="22"/>
        </w:rPr>
        <w:t xml:space="preserve"> power of the distance</w:t>
      </w:r>
      <w:r w:rsidR="005B6ABD">
        <w:rPr>
          <w:rFonts w:ascii="Calibri" w:eastAsia="바탕" w:hAnsi="Calibri" w:cs="Calibri"/>
          <w:sz w:val="22"/>
        </w:rPr>
        <w:t xml:space="preserve"> (D)</w:t>
      </w:r>
      <w:r>
        <w:rPr>
          <w:rFonts w:ascii="Calibri" w:eastAsia="바탕" w:hAnsi="Calibri" w:cs="Calibri"/>
          <w:sz w:val="22"/>
        </w:rPr>
        <w:t xml:space="preserve"> between the sensing entity and the </w:t>
      </w:r>
      <w:r w:rsidR="008B6B78">
        <w:rPr>
          <w:rFonts w:ascii="Calibri" w:eastAsia="바탕" w:hAnsi="Calibri" w:cs="Calibri"/>
          <w:sz w:val="22"/>
        </w:rPr>
        <w:t>sensing target</w:t>
      </w:r>
      <w:r>
        <w:rPr>
          <w:rFonts w:ascii="Calibri" w:eastAsia="바탕" w:hAnsi="Calibri" w:cs="Calibri"/>
          <w:sz w:val="22"/>
        </w:rPr>
        <w:t>.</w:t>
      </w:r>
    </w:p>
    <w:p w:rsidR="002A5661" w:rsidRDefault="00926753" w:rsidP="009C7D4B">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sz w:val="22"/>
                </w:rPr>
              </m:ctrlPr>
            </m:sSubPr>
            <m:e>
              <m:r>
                <w:rPr>
                  <w:rFonts w:ascii="Cambria Math" w:eastAsia="바탕" w:hAnsi="Cambria Math" w:cs="Calibri"/>
                  <w:sz w:val="22"/>
                </w:rPr>
                <m:t>Pathloss</m:t>
              </m:r>
            </m:e>
            <m:sub>
              <m:r>
                <w:rPr>
                  <w:rFonts w:ascii="Cambria Math" w:eastAsia="바탕" w:hAnsi="Cambria Math" w:cs="Calibri"/>
                  <w:sz w:val="22"/>
                </w:rPr>
                <m:t>monostatic</m:t>
              </m:r>
            </m:sub>
          </m:sSub>
          <m:r>
            <w:rPr>
              <w:rFonts w:ascii="Cambria Math" w:eastAsia="바탕" w:hAnsi="Cambria Math" w:cs="Calibri"/>
              <w:sz w:val="22"/>
            </w:rPr>
            <m:t>∝</m:t>
          </m:r>
          <m:sSup>
            <m:sSupPr>
              <m:ctrlPr>
                <w:rPr>
                  <w:rFonts w:ascii="Cambria Math" w:eastAsia="바탕" w:hAnsi="Cambria Math" w:cs="Calibri"/>
                  <w:i/>
                  <w:sz w:val="22"/>
                </w:rPr>
              </m:ctrlPr>
            </m:sSupPr>
            <m:e>
              <m:r>
                <w:rPr>
                  <w:rFonts w:ascii="Cambria Math" w:eastAsia="바탕" w:hAnsi="Cambria Math" w:cs="Calibri"/>
                  <w:sz w:val="22"/>
                </w:rPr>
                <m:t>D</m:t>
              </m:r>
            </m:e>
            <m:sup>
              <m:r>
                <w:rPr>
                  <w:rFonts w:ascii="Cambria Math" w:eastAsia="바탕" w:hAnsi="Cambria Math" w:cs="Calibri"/>
                  <w:sz w:val="22"/>
                </w:rPr>
                <m:t>4</m:t>
              </m:r>
            </m:sup>
          </m:sSup>
        </m:oMath>
      </m:oMathPara>
    </w:p>
    <w:p w:rsidR="006727D7" w:rsidRDefault="006727D7" w:rsidP="005B6ABD">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hint="eastAsia"/>
          <w:sz w:val="22"/>
        </w:rPr>
        <w:t xml:space="preserve">Therefore, at the edge of the network coverage for example, the received signal power is </w:t>
      </w:r>
      <w:r>
        <w:rPr>
          <w:rFonts w:ascii="Calibri" w:eastAsia="바탕" w:hAnsi="Calibri" w:cs="Calibri"/>
          <w:sz w:val="22"/>
        </w:rPr>
        <w:t>too</w:t>
      </w:r>
      <w:r>
        <w:rPr>
          <w:rFonts w:ascii="Calibri" w:eastAsia="바탕" w:hAnsi="Calibri" w:cs="Calibri" w:hint="eastAsia"/>
          <w:sz w:val="22"/>
        </w:rPr>
        <w:t xml:space="preserve"> low for object detection in monostatic </w:t>
      </w:r>
      <w:r>
        <w:rPr>
          <w:rFonts w:ascii="Calibri" w:eastAsia="바탕" w:hAnsi="Calibri" w:cs="Calibri"/>
          <w:sz w:val="22"/>
        </w:rPr>
        <w:t>sensing</w:t>
      </w:r>
      <w:r>
        <w:rPr>
          <w:rFonts w:ascii="Calibri" w:eastAsia="바탕" w:hAnsi="Calibri" w:cs="Calibri" w:hint="eastAsia"/>
          <w:sz w:val="22"/>
        </w:rPr>
        <w:t xml:space="preserve">. It means that the sensing coverage is much smaller than that of the communication, where the </w:t>
      </w:r>
      <w:r>
        <w:rPr>
          <w:rFonts w:ascii="Calibri" w:eastAsia="바탕" w:hAnsi="Calibri" w:cs="Calibri"/>
          <w:sz w:val="22"/>
        </w:rPr>
        <w:t>pathloss of the received signal is proportional to the square of the distance.</w:t>
      </w:r>
    </w:p>
    <w:p w:rsidR="00F478E5" w:rsidRDefault="00F478E5" w:rsidP="00F478E5">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5BAC1FCC" wp14:editId="754CC619">
            <wp:extent cx="3650400" cy="126000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0400" cy="1260000"/>
                    </a:xfrm>
                    <a:prstGeom prst="rect">
                      <a:avLst/>
                    </a:prstGeom>
                    <a:noFill/>
                  </pic:spPr>
                </pic:pic>
              </a:graphicData>
            </a:graphic>
          </wp:inline>
        </w:drawing>
      </w:r>
    </w:p>
    <w:p w:rsidR="00F478E5" w:rsidRDefault="00F478E5" w:rsidP="00F478E5">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sidR="00B34B2A">
        <w:rPr>
          <w:noProof/>
        </w:rPr>
        <w:t>1</w:t>
      </w:r>
      <w:r>
        <w:fldChar w:fldCharType="end"/>
      </w:r>
      <w:r>
        <w:t xml:space="preserve"> Monostatic sensing</w:t>
      </w:r>
      <w:r>
        <w:rPr>
          <w:noProof/>
        </w:rPr>
        <w:t xml:space="preserve"> coverage</w:t>
      </w:r>
    </w:p>
    <w:p w:rsidR="009C7D4B" w:rsidRDefault="002A5661" w:rsidP="006727D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r w:rsidR="006727D7">
        <w:rPr>
          <w:rFonts w:ascii="Calibri" w:eastAsia="바탕" w:hAnsi="Calibri" w:cs="Calibri"/>
          <w:sz w:val="22"/>
        </w:rPr>
        <w:t>pathloss</w:t>
      </w:r>
      <w:r>
        <w:rPr>
          <w:rFonts w:ascii="Calibri" w:eastAsia="바탕" w:hAnsi="Calibri" w:cs="Calibri"/>
          <w:sz w:val="22"/>
        </w:rPr>
        <w:t xml:space="preserve"> of the bistatic sensing is proportional to the </w:t>
      </w:r>
      <w:r w:rsidR="005B6ABD">
        <w:rPr>
          <w:rFonts w:ascii="Calibri" w:eastAsia="바탕" w:hAnsi="Calibri" w:cs="Calibri"/>
          <w:sz w:val="22"/>
        </w:rPr>
        <w:t xml:space="preserve">square of the </w:t>
      </w:r>
      <w:r>
        <w:rPr>
          <w:rFonts w:ascii="Calibri" w:eastAsia="바탕" w:hAnsi="Calibri" w:cs="Calibri"/>
          <w:sz w:val="22"/>
        </w:rPr>
        <w:t xml:space="preserve">product of </w:t>
      </w:r>
      <w:r w:rsidR="005B6ABD">
        <w:rPr>
          <w:rFonts w:ascii="Calibri" w:eastAsia="바탕" w:hAnsi="Calibri" w:cs="Calibri"/>
          <w:sz w:val="22"/>
        </w:rPr>
        <w:t xml:space="preserve">the distance between Tx entity and the </w:t>
      </w:r>
      <w:r w:rsidR="008B6B78">
        <w:rPr>
          <w:rFonts w:ascii="Calibri" w:eastAsia="바탕" w:hAnsi="Calibri" w:cs="Calibri"/>
          <w:sz w:val="22"/>
        </w:rPr>
        <w:t>sensing target</w:t>
      </w:r>
      <w:r w:rsidR="005B6ABD">
        <w:rPr>
          <w:rFonts w:ascii="Calibri" w:eastAsia="바탕" w:hAnsi="Calibri" w:cs="Calibri"/>
          <w:sz w:val="22"/>
        </w:rPr>
        <w:t xml:space="preserve"> (D</w:t>
      </w:r>
      <w:r w:rsidR="005B6ABD" w:rsidRPr="005B6ABD">
        <w:rPr>
          <w:rFonts w:ascii="Calibri" w:eastAsia="바탕" w:hAnsi="Calibri" w:cs="Calibri"/>
          <w:sz w:val="22"/>
          <w:vertAlign w:val="subscript"/>
        </w:rPr>
        <w:t>tx-obj</w:t>
      </w:r>
      <w:r w:rsidR="005B6ABD">
        <w:rPr>
          <w:rFonts w:ascii="Calibri" w:eastAsia="바탕" w:hAnsi="Calibri" w:cs="Calibri"/>
          <w:sz w:val="22"/>
        </w:rPr>
        <w:t xml:space="preserve">), and the distance between the </w:t>
      </w:r>
      <w:r w:rsidR="008B6B78">
        <w:rPr>
          <w:rFonts w:ascii="Calibri" w:eastAsia="바탕" w:hAnsi="Calibri" w:cs="Calibri"/>
          <w:sz w:val="22"/>
        </w:rPr>
        <w:t>sensing target</w:t>
      </w:r>
      <w:r w:rsidR="005B6ABD">
        <w:rPr>
          <w:rFonts w:ascii="Calibri" w:eastAsia="바탕" w:hAnsi="Calibri" w:cs="Calibri"/>
          <w:sz w:val="22"/>
        </w:rPr>
        <w:t xml:space="preserve"> and Rx entity (D</w:t>
      </w:r>
      <w:r w:rsidR="005B6ABD" w:rsidRPr="005B6ABD">
        <w:rPr>
          <w:rFonts w:ascii="Calibri" w:eastAsia="바탕" w:hAnsi="Calibri" w:cs="Calibri"/>
          <w:sz w:val="22"/>
          <w:vertAlign w:val="subscript"/>
        </w:rPr>
        <w:t>obj</w:t>
      </w:r>
      <w:r w:rsidR="005B6ABD">
        <w:rPr>
          <w:rFonts w:ascii="Calibri" w:eastAsia="바탕" w:hAnsi="Calibri" w:cs="Calibri"/>
          <w:sz w:val="22"/>
          <w:vertAlign w:val="subscript"/>
        </w:rPr>
        <w:t>-rx</w:t>
      </w:r>
      <w:r w:rsidR="005B6ABD">
        <w:rPr>
          <w:rFonts w:ascii="Calibri" w:eastAsia="바탕" w:hAnsi="Calibri" w:cs="Calibri"/>
          <w:sz w:val="22"/>
        </w:rPr>
        <w:t>).</w:t>
      </w:r>
    </w:p>
    <w:p w:rsidR="005B6ABD" w:rsidRDefault="00926753" w:rsidP="005B6ABD">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sz w:val="22"/>
                </w:rPr>
              </m:ctrlPr>
            </m:sSubPr>
            <m:e>
              <m:r>
                <w:rPr>
                  <w:rFonts w:ascii="Cambria Math" w:eastAsia="바탕" w:hAnsi="Cambria Math" w:cs="Calibri"/>
                  <w:sz w:val="22"/>
                </w:rPr>
                <m:t>Pathloss</m:t>
              </m:r>
            </m:e>
            <m:sub>
              <m:r>
                <w:rPr>
                  <w:rFonts w:ascii="Cambria Math" w:eastAsia="바탕" w:hAnsi="Cambria Math" w:cs="Calibri"/>
                  <w:sz w:val="22"/>
                </w:rPr>
                <m:t>bistatic</m:t>
              </m:r>
            </m:sub>
          </m:sSub>
          <m:r>
            <w:rPr>
              <w:rFonts w:ascii="Cambria Math" w:eastAsia="바탕" w:hAnsi="Cambria Math" w:cs="Calibri"/>
              <w:sz w:val="22"/>
            </w:rPr>
            <m:t>∝</m:t>
          </m:r>
          <m:sSup>
            <m:sSupPr>
              <m:ctrlPr>
                <w:rPr>
                  <w:rFonts w:ascii="Cambria Math" w:eastAsia="바탕" w:hAnsi="Cambria Math" w:cs="Calibri"/>
                  <w:i/>
                  <w:sz w:val="22"/>
                </w:rPr>
              </m:ctrlPr>
            </m:sSupPr>
            <m:e>
              <m:d>
                <m:dPr>
                  <m:ctrlPr>
                    <w:rPr>
                      <w:rFonts w:ascii="Cambria Math" w:eastAsia="바탕" w:hAnsi="Cambria Math" w:cs="Calibri"/>
                      <w:i/>
                      <w:sz w:val="22"/>
                    </w:rPr>
                  </m:ctrlPr>
                </m:dPr>
                <m:e>
                  <m:sSub>
                    <m:sSubPr>
                      <m:ctrlPr>
                        <w:rPr>
                          <w:rFonts w:ascii="Cambria Math" w:eastAsia="바탕" w:hAnsi="Cambria Math" w:cs="Calibri"/>
                          <w:i/>
                          <w:sz w:val="22"/>
                        </w:rPr>
                      </m:ctrlPr>
                    </m:sSubPr>
                    <m:e>
                      <m:r>
                        <w:rPr>
                          <w:rFonts w:ascii="Cambria Math" w:eastAsia="바탕" w:hAnsi="Cambria Math" w:cs="Calibri"/>
                          <w:sz w:val="22"/>
                        </w:rPr>
                        <m:t>D</m:t>
                      </m:r>
                    </m:e>
                    <m:sub>
                      <m:r>
                        <w:rPr>
                          <w:rFonts w:ascii="Cambria Math" w:eastAsia="바탕" w:hAnsi="Cambria Math" w:cs="Calibri"/>
                          <w:sz w:val="22"/>
                        </w:rPr>
                        <m:t>tx-obj</m:t>
                      </m:r>
                    </m:sub>
                  </m:sSub>
                  <m:r>
                    <w:rPr>
                      <w:rFonts w:ascii="Cambria Math" w:eastAsia="바탕" w:hAnsi="Cambria Math" w:cs="Calibri"/>
                      <w:sz w:val="22"/>
                    </w:rPr>
                    <m:t>∙</m:t>
                  </m:r>
                  <m:sSub>
                    <m:sSubPr>
                      <m:ctrlPr>
                        <w:rPr>
                          <w:rFonts w:ascii="Cambria Math" w:eastAsia="바탕" w:hAnsi="Cambria Math" w:cs="Calibri"/>
                          <w:i/>
                          <w:sz w:val="22"/>
                        </w:rPr>
                      </m:ctrlPr>
                    </m:sSubPr>
                    <m:e>
                      <m:r>
                        <w:rPr>
                          <w:rFonts w:ascii="Cambria Math" w:eastAsia="바탕" w:hAnsi="Cambria Math" w:cs="Calibri"/>
                          <w:sz w:val="22"/>
                        </w:rPr>
                        <m:t>D</m:t>
                      </m:r>
                    </m:e>
                    <m:sub>
                      <m:r>
                        <w:rPr>
                          <w:rFonts w:ascii="Cambria Math" w:eastAsia="바탕" w:hAnsi="Cambria Math" w:cs="Calibri"/>
                          <w:sz w:val="22"/>
                        </w:rPr>
                        <m:t>obj-rx</m:t>
                      </m:r>
                    </m:sub>
                  </m:sSub>
                </m:e>
              </m:d>
            </m:e>
            <m:sup>
              <m:r>
                <w:rPr>
                  <w:rFonts w:ascii="Cambria Math" w:eastAsia="바탕" w:hAnsi="Cambria Math" w:cs="Calibri"/>
                  <w:sz w:val="22"/>
                </w:rPr>
                <m:t>2</m:t>
              </m:r>
            </m:sup>
          </m:sSup>
        </m:oMath>
      </m:oMathPara>
    </w:p>
    <w:p w:rsidR="005B6ABD" w:rsidRDefault="006727D7" w:rsidP="005B6ABD">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Different from the monostatic</w:t>
      </w:r>
      <w:r w:rsidR="005B6ABD">
        <w:rPr>
          <w:rFonts w:ascii="Calibri" w:eastAsia="바탕" w:hAnsi="Calibri" w:cs="Calibri"/>
          <w:sz w:val="22"/>
        </w:rPr>
        <w:t xml:space="preserve"> sensing case, the sufficient received signal power for object detection can be obtained even at the edge of the network coverage</w:t>
      </w:r>
      <w:r>
        <w:rPr>
          <w:rFonts w:ascii="Calibri" w:eastAsia="바탕" w:hAnsi="Calibri" w:cs="Calibri"/>
          <w:sz w:val="22"/>
        </w:rPr>
        <w:t xml:space="preserve"> in bistatic sensing</w:t>
      </w:r>
      <w:r w:rsidR="005B6ABD">
        <w:rPr>
          <w:rFonts w:ascii="Calibri" w:eastAsia="바탕" w:hAnsi="Calibri" w:cs="Calibri"/>
          <w:sz w:val="22"/>
        </w:rPr>
        <w:t xml:space="preserve">. For example, if Rx entity is near the </w:t>
      </w:r>
      <w:r w:rsidR="008B6B78">
        <w:rPr>
          <w:rFonts w:ascii="Calibri" w:eastAsia="바탕" w:hAnsi="Calibri" w:cs="Calibri"/>
          <w:sz w:val="22"/>
        </w:rPr>
        <w:t>sensing target</w:t>
      </w:r>
      <w:r w:rsidR="00E65ABB">
        <w:rPr>
          <w:rFonts w:ascii="Calibri" w:eastAsia="바탕" w:hAnsi="Calibri" w:cs="Calibri"/>
          <w:sz w:val="22"/>
        </w:rPr>
        <w:t xml:space="preserve"> (D</w:t>
      </w:r>
      <w:r w:rsidR="00E65ABB" w:rsidRPr="005B6ABD">
        <w:rPr>
          <w:rFonts w:ascii="Calibri" w:eastAsia="바탕" w:hAnsi="Calibri" w:cs="Calibri"/>
          <w:sz w:val="22"/>
          <w:vertAlign w:val="subscript"/>
        </w:rPr>
        <w:t>tx-obj</w:t>
      </w:r>
      <w:r w:rsidR="00E65ABB">
        <w:rPr>
          <w:rFonts w:ascii="Calibri" w:eastAsia="바탕" w:hAnsi="Calibri" w:cs="Calibri"/>
          <w:sz w:val="22"/>
        </w:rPr>
        <w:t xml:space="preserve"> &gt;&gt;</w:t>
      </w:r>
      <w:r w:rsidR="00E65ABB" w:rsidRPr="00E65ABB">
        <w:rPr>
          <w:rFonts w:ascii="Calibri" w:eastAsia="바탕" w:hAnsi="Calibri" w:cs="Calibri"/>
          <w:sz w:val="22"/>
        </w:rPr>
        <w:t xml:space="preserve"> </w:t>
      </w:r>
      <w:r w:rsidR="00E65ABB">
        <w:rPr>
          <w:rFonts w:ascii="Calibri" w:eastAsia="바탕" w:hAnsi="Calibri" w:cs="Calibri"/>
          <w:sz w:val="22"/>
        </w:rPr>
        <w:t>D</w:t>
      </w:r>
      <w:r w:rsidR="00E65ABB" w:rsidRPr="005B6ABD">
        <w:rPr>
          <w:rFonts w:ascii="Calibri" w:eastAsia="바탕" w:hAnsi="Calibri" w:cs="Calibri"/>
          <w:sz w:val="22"/>
          <w:vertAlign w:val="subscript"/>
        </w:rPr>
        <w:t>obj</w:t>
      </w:r>
      <w:r w:rsidR="00E65ABB">
        <w:rPr>
          <w:rFonts w:ascii="Calibri" w:eastAsia="바탕" w:hAnsi="Calibri" w:cs="Calibri"/>
          <w:sz w:val="22"/>
          <w:vertAlign w:val="subscript"/>
        </w:rPr>
        <w:t>-rx</w:t>
      </w:r>
      <w:r w:rsidR="00E65ABB">
        <w:rPr>
          <w:rFonts w:ascii="Calibri" w:eastAsia="바탕" w:hAnsi="Calibri" w:cs="Calibri"/>
          <w:sz w:val="22"/>
        </w:rPr>
        <w:t>)</w:t>
      </w:r>
      <w:r w:rsidR="005B6ABD">
        <w:rPr>
          <w:rFonts w:ascii="Calibri" w:eastAsia="바탕" w:hAnsi="Calibri" w:cs="Calibri"/>
          <w:sz w:val="22"/>
        </w:rPr>
        <w:t xml:space="preserve">, </w:t>
      </w:r>
      <w:r w:rsidR="00E65ABB">
        <w:rPr>
          <w:rFonts w:ascii="Calibri" w:eastAsia="바탕" w:hAnsi="Calibri" w:cs="Calibri"/>
          <w:sz w:val="22"/>
        </w:rPr>
        <w:t xml:space="preserve">the </w:t>
      </w:r>
      <w:r w:rsidR="001C0D87">
        <w:rPr>
          <w:rFonts w:ascii="Calibri" w:eastAsia="바탕" w:hAnsi="Calibri" w:cs="Calibri"/>
          <w:sz w:val="22"/>
        </w:rPr>
        <w:t>pathloss</w:t>
      </w:r>
      <w:r w:rsidR="00E65ABB">
        <w:rPr>
          <w:rFonts w:ascii="Calibri" w:eastAsia="바탕" w:hAnsi="Calibri" w:cs="Calibri"/>
          <w:sz w:val="22"/>
        </w:rPr>
        <w:t xml:space="preserve"> </w:t>
      </w:r>
      <w:r w:rsidR="001C0D87">
        <w:rPr>
          <w:rFonts w:ascii="Calibri" w:eastAsia="바탕" w:hAnsi="Calibri" w:cs="Calibri"/>
          <w:sz w:val="22"/>
        </w:rPr>
        <w:t>is almost</w:t>
      </w:r>
      <w:r w:rsidR="00E65ABB">
        <w:rPr>
          <w:rFonts w:ascii="Calibri" w:eastAsia="바탕" w:hAnsi="Calibri" w:cs="Calibri"/>
          <w:sz w:val="22"/>
        </w:rPr>
        <w:t xml:space="preserve"> proportional </w:t>
      </w:r>
      <w:r w:rsidR="00F478E5">
        <w:rPr>
          <w:rFonts w:ascii="Calibri" w:eastAsia="바탕" w:hAnsi="Calibri" w:cs="Calibri"/>
          <w:sz w:val="22"/>
        </w:rPr>
        <w:t xml:space="preserve">only </w:t>
      </w:r>
      <w:r w:rsidR="00E65ABB">
        <w:rPr>
          <w:rFonts w:ascii="Calibri" w:eastAsia="바탕" w:hAnsi="Calibri" w:cs="Calibri"/>
          <w:sz w:val="22"/>
        </w:rPr>
        <w:t>to</w:t>
      </w:r>
      <w:r w:rsidR="00F478E5">
        <w:rPr>
          <w:rFonts w:ascii="Calibri" w:eastAsia="바탕" w:hAnsi="Calibri" w:cs="Calibri"/>
          <w:sz w:val="22"/>
        </w:rPr>
        <w:t xml:space="preserve"> the square of</w:t>
      </w:r>
      <w:r w:rsidR="00E65ABB">
        <w:rPr>
          <w:rFonts w:ascii="Calibri" w:eastAsia="바탕" w:hAnsi="Calibri" w:cs="Calibri"/>
          <w:sz w:val="22"/>
        </w:rPr>
        <w:t xml:space="preserve"> D</w:t>
      </w:r>
      <w:r w:rsidR="00E65ABB" w:rsidRPr="005B6ABD">
        <w:rPr>
          <w:rFonts w:ascii="Calibri" w:eastAsia="바탕" w:hAnsi="Calibri" w:cs="Calibri"/>
          <w:sz w:val="22"/>
          <w:vertAlign w:val="subscript"/>
        </w:rPr>
        <w:t>tx-obj</w:t>
      </w:r>
      <w:r w:rsidR="00E65ABB">
        <w:rPr>
          <w:rFonts w:ascii="Calibri" w:eastAsia="바탕" w:hAnsi="Calibri" w:cs="Calibri"/>
          <w:sz w:val="22"/>
        </w:rPr>
        <w:t>.</w:t>
      </w:r>
      <w:r>
        <w:rPr>
          <w:rFonts w:ascii="Calibri" w:eastAsia="바탕" w:hAnsi="Calibri" w:cs="Calibri"/>
          <w:sz w:val="22"/>
        </w:rPr>
        <w:t xml:space="preserve"> This means that the bistatic sensing can provide </w:t>
      </w:r>
      <w:r w:rsidR="001C0D87">
        <w:rPr>
          <w:rFonts w:ascii="Calibri" w:eastAsia="바탕" w:hAnsi="Calibri" w:cs="Calibri"/>
          <w:sz w:val="22"/>
        </w:rPr>
        <w:t>a comparable</w:t>
      </w:r>
      <w:r>
        <w:rPr>
          <w:rFonts w:ascii="Calibri" w:eastAsia="바탕" w:hAnsi="Calibri" w:cs="Calibri"/>
          <w:sz w:val="22"/>
        </w:rPr>
        <w:t xml:space="preserve"> coverage as the communication.</w:t>
      </w:r>
    </w:p>
    <w:p w:rsidR="00BE69ED" w:rsidRDefault="00BE69ED" w:rsidP="00BE69ED">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7C82D781" wp14:editId="42927DC7">
            <wp:extent cx="3682800" cy="1368000"/>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2800" cy="1368000"/>
                    </a:xfrm>
                    <a:prstGeom prst="rect">
                      <a:avLst/>
                    </a:prstGeom>
                    <a:noFill/>
                  </pic:spPr>
                </pic:pic>
              </a:graphicData>
            </a:graphic>
          </wp:inline>
        </w:drawing>
      </w:r>
    </w:p>
    <w:p w:rsidR="00BE69ED" w:rsidRDefault="00BE69ED" w:rsidP="00BE69ED">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sidR="00B34B2A">
        <w:rPr>
          <w:noProof/>
        </w:rPr>
        <w:t>2</w:t>
      </w:r>
      <w:r>
        <w:fldChar w:fldCharType="end"/>
      </w:r>
      <w:r>
        <w:t xml:space="preserve"> Bistatic sensing coverage</w:t>
      </w:r>
    </w:p>
    <w:p w:rsidR="005B6ABD" w:rsidRDefault="001C0D87" w:rsidP="009C7D4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Considering the analysis above, if the sensing is combined with the communication, </w:t>
      </w:r>
      <w:r>
        <w:rPr>
          <w:rFonts w:ascii="Calibri" w:eastAsia="바탕" w:hAnsi="Calibri" w:cs="Calibri"/>
          <w:sz w:val="22"/>
        </w:rPr>
        <w:t xml:space="preserve">the </w:t>
      </w:r>
      <w:r>
        <w:rPr>
          <w:rFonts w:ascii="Calibri" w:eastAsia="바탕" w:hAnsi="Calibri" w:cs="Calibri" w:hint="eastAsia"/>
          <w:sz w:val="22"/>
        </w:rPr>
        <w:t>bistatic sensing</w:t>
      </w:r>
      <w:r>
        <w:rPr>
          <w:rFonts w:ascii="Calibri" w:eastAsia="바탕" w:hAnsi="Calibri" w:cs="Calibri"/>
          <w:sz w:val="22"/>
        </w:rPr>
        <w:t xml:space="preserve"> is more beneficial in that the single ISAC signal</w:t>
      </w:r>
      <w:r>
        <w:rPr>
          <w:rFonts w:ascii="Calibri" w:eastAsia="바탕" w:hAnsi="Calibri" w:cs="Calibri" w:hint="eastAsia"/>
          <w:sz w:val="22"/>
        </w:rPr>
        <w:t xml:space="preserve"> can provide the same coverage </w:t>
      </w:r>
      <w:r>
        <w:rPr>
          <w:rFonts w:ascii="Calibri" w:eastAsia="바탕" w:hAnsi="Calibri" w:cs="Calibri"/>
          <w:sz w:val="22"/>
        </w:rPr>
        <w:t>for both sensing and</w:t>
      </w:r>
      <w:r>
        <w:rPr>
          <w:rFonts w:ascii="Calibri" w:eastAsia="바탕" w:hAnsi="Calibri" w:cs="Calibri" w:hint="eastAsia"/>
          <w:sz w:val="22"/>
        </w:rPr>
        <w:t xml:space="preserve"> communication</w:t>
      </w:r>
      <w:r>
        <w:rPr>
          <w:rFonts w:ascii="Calibri" w:eastAsia="바탕" w:hAnsi="Calibri" w:cs="Calibri"/>
          <w:sz w:val="22"/>
        </w:rPr>
        <w:t>.</w:t>
      </w:r>
    </w:p>
    <w:p w:rsidR="007D7BD1" w:rsidRDefault="00BD1352" w:rsidP="007D7BD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1</w:t>
      </w:r>
      <w:r w:rsidR="007D7BD1" w:rsidRPr="00FC3A33">
        <w:rPr>
          <w:rFonts w:ascii="Calibri" w:eastAsia="바탕" w:hAnsi="Calibri" w:cs="Calibri"/>
          <w:b/>
          <w:i/>
          <w:sz w:val="22"/>
        </w:rPr>
        <w:t>:</w:t>
      </w:r>
      <w:r w:rsidR="007D7BD1" w:rsidRPr="00FC3A33">
        <w:rPr>
          <w:rFonts w:ascii="Calibri" w:eastAsia="바탕" w:hAnsi="Calibri" w:cs="Calibri"/>
          <w:i/>
          <w:sz w:val="22"/>
        </w:rPr>
        <w:t xml:space="preserve"> </w:t>
      </w:r>
      <w:r>
        <w:rPr>
          <w:rFonts w:ascii="Calibri" w:eastAsia="바탕" w:hAnsi="Calibri" w:cs="Calibri"/>
          <w:i/>
          <w:sz w:val="22"/>
        </w:rPr>
        <w:t>Bistatic sensing</w:t>
      </w:r>
      <w:r w:rsidR="003A42D1">
        <w:rPr>
          <w:rFonts w:ascii="Calibri" w:eastAsia="바탕" w:hAnsi="Calibri" w:cs="Calibri"/>
          <w:i/>
          <w:sz w:val="22"/>
        </w:rPr>
        <w:t xml:space="preserve"> </w:t>
      </w:r>
      <w:r w:rsidR="001C0D87">
        <w:rPr>
          <w:rFonts w:ascii="Calibri" w:eastAsia="바탕" w:hAnsi="Calibri" w:cs="Calibri"/>
          <w:i/>
          <w:sz w:val="22"/>
        </w:rPr>
        <w:t>can provide almost same coverage as communication,</w:t>
      </w:r>
      <w:r>
        <w:rPr>
          <w:rFonts w:ascii="Calibri" w:eastAsia="바탕" w:hAnsi="Calibri" w:cs="Calibri"/>
          <w:i/>
          <w:sz w:val="22"/>
        </w:rPr>
        <w:t xml:space="preserve"> </w:t>
      </w:r>
      <w:r w:rsidR="001C0D87">
        <w:rPr>
          <w:rFonts w:ascii="Calibri" w:eastAsia="바탕" w:hAnsi="Calibri" w:cs="Calibri"/>
          <w:i/>
          <w:sz w:val="22"/>
        </w:rPr>
        <w:t>whereas the</w:t>
      </w:r>
      <w:r>
        <w:rPr>
          <w:rFonts w:ascii="Calibri" w:eastAsia="바탕" w:hAnsi="Calibri" w:cs="Calibri"/>
          <w:i/>
          <w:sz w:val="22"/>
        </w:rPr>
        <w:t xml:space="preserve"> </w:t>
      </w:r>
      <w:r>
        <w:rPr>
          <w:rFonts w:ascii="Calibri" w:eastAsia="바탕" w:hAnsi="Calibri" w:cs="Calibri"/>
          <w:i/>
          <w:sz w:val="22"/>
        </w:rPr>
        <w:lastRenderedPageBreak/>
        <w:t>monostatic sensing</w:t>
      </w:r>
      <w:r w:rsidR="003A42D1">
        <w:rPr>
          <w:rFonts w:ascii="Calibri" w:eastAsia="바탕" w:hAnsi="Calibri" w:cs="Calibri"/>
          <w:i/>
          <w:sz w:val="22"/>
        </w:rPr>
        <w:t xml:space="preserve"> </w:t>
      </w:r>
      <w:r w:rsidR="001C0D87">
        <w:rPr>
          <w:rFonts w:ascii="Calibri" w:eastAsia="바탕" w:hAnsi="Calibri" w:cs="Calibri"/>
          <w:i/>
          <w:sz w:val="22"/>
        </w:rPr>
        <w:t>provides much smaller coverage than communication</w:t>
      </w:r>
      <w:r>
        <w:rPr>
          <w:rFonts w:ascii="Calibri" w:eastAsia="바탕" w:hAnsi="Calibri" w:cs="Calibri"/>
          <w:i/>
          <w:sz w:val="22"/>
        </w:rPr>
        <w:t>.</w:t>
      </w:r>
    </w:p>
    <w:p w:rsidR="00C77B26" w:rsidRDefault="00C77B26" w:rsidP="00C77B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the monostatic sensing case, unless two network coverages of the adjacent TPRs significantly overlap each other, TRP-TRP bistatic sensing mode cannot provide the same coverage that is provided by each TRP. Usually those two adjacent network coverage</w:t>
      </w:r>
      <w:r w:rsidR="00C72BF0">
        <w:rPr>
          <w:rFonts w:ascii="Calibri" w:eastAsia="바탕" w:hAnsi="Calibri" w:cs="Calibri"/>
          <w:sz w:val="22"/>
        </w:rPr>
        <w:t xml:space="preserve"> area</w:t>
      </w:r>
      <w:r>
        <w:rPr>
          <w:rFonts w:ascii="Calibri" w:eastAsia="바탕" w:hAnsi="Calibri" w:cs="Calibri"/>
          <w:sz w:val="22"/>
        </w:rPr>
        <w:t>s do not overlap that much so as to avoid the inter-cell interference. On the contrary, the coverage of the signal transmitted by UE may overlap depending on the distance between the adjacent UEs.</w:t>
      </w:r>
    </w:p>
    <w:p w:rsidR="009D65E2" w:rsidRDefault="009D65E2" w:rsidP="00C77B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of TRP-TRP bistatic sensing is that the probability of the presence of LOS path between two TRPs and the </w:t>
      </w:r>
      <w:r w:rsidR="008B6B78">
        <w:rPr>
          <w:rFonts w:ascii="Calibri" w:eastAsia="바탕" w:hAnsi="Calibri" w:cs="Calibri"/>
          <w:sz w:val="22"/>
        </w:rPr>
        <w:t>sensing target</w:t>
      </w:r>
      <w:r>
        <w:rPr>
          <w:rFonts w:ascii="Calibri" w:eastAsia="바탕" w:hAnsi="Calibri" w:cs="Calibri"/>
          <w:sz w:val="22"/>
        </w:rPr>
        <w:t xml:space="preserve"> is lower than a single TRP case. With this reason, it seems not feasible to use TRP-TRP bistatic sensing, compared to TRP-UE or UE-TRP bistatic sensing for example.</w:t>
      </w:r>
    </w:p>
    <w:p w:rsidR="00B34B2A" w:rsidRDefault="00B34B2A" w:rsidP="00B34B2A">
      <w:pPr>
        <w:keepNext/>
        <w:wordWrap/>
        <w:adjustRightInd w:val="0"/>
        <w:snapToGrid w:val="0"/>
        <w:spacing w:before="100" w:beforeAutospacing="1" w:afterLines="50" w:after="120" w:line="264" w:lineRule="auto"/>
      </w:pPr>
      <w:r>
        <w:rPr>
          <w:rFonts w:ascii="Calibri" w:eastAsia="바탕" w:hAnsi="Calibri" w:cs="Calibri"/>
          <w:noProof/>
          <w:sz w:val="22"/>
        </w:rPr>
        <w:drawing>
          <wp:inline distT="0" distB="0" distL="0" distR="0" wp14:anchorId="17895091" wp14:editId="09E499E1">
            <wp:extent cx="5942257" cy="1104595"/>
            <wp:effectExtent l="0" t="0" r="1905"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02" cy="1117820"/>
                    </a:xfrm>
                    <a:prstGeom prst="rect">
                      <a:avLst/>
                    </a:prstGeom>
                    <a:noFill/>
                  </pic:spPr>
                </pic:pic>
              </a:graphicData>
            </a:graphic>
          </wp:inline>
        </w:drawing>
      </w:r>
    </w:p>
    <w:p w:rsidR="00B34B2A" w:rsidRDefault="00B34B2A" w:rsidP="00B34B2A">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Pr>
          <w:noProof/>
        </w:rPr>
        <w:t>3</w:t>
      </w:r>
      <w:r>
        <w:fldChar w:fldCharType="end"/>
      </w:r>
      <w:r>
        <w:t xml:space="preserve"> TRP-TRP bistatic sensing for terrestrial object detection</w:t>
      </w:r>
    </w:p>
    <w:p w:rsidR="009D65E2" w:rsidRDefault="009D65E2" w:rsidP="009D65E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TRP-TRP bistatic sensing mode may suffer both significant pathloss due to the distance and limited service availability due to the absence of LOS to/from the object.</w:t>
      </w:r>
    </w:p>
    <w:p w:rsidR="00036196" w:rsidRDefault="003B7618" w:rsidP="000361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the sensing service availability, the sensing service needs to be provided to all the possible coverage cases – inside, outside and partial network coverage case. Although TRP will work as Tx or Rx sensing entity in the network coverage area, TRP is not available in the outside-of-the network coverage area. In OOC case, the only sensing solution will be UE-UE bistatic or UE monostatic sensing. As commented above, the coverage of the signal transmitted by UE may overlap depending on the distance between the adjacent UEs. So </w:t>
      </w:r>
      <w:r w:rsidR="00C946BD">
        <w:rPr>
          <w:rFonts w:ascii="Calibri" w:eastAsia="바탕" w:hAnsi="Calibri" w:cs="Calibri"/>
          <w:sz w:val="22"/>
        </w:rPr>
        <w:t>at least for the out-of-network coverage, UE-UE bistatic and UE monostatic sensing mode needs to be included in the deployment scenario</w:t>
      </w:r>
      <w:r>
        <w:rPr>
          <w:rFonts w:ascii="Calibri" w:eastAsia="바탕" w:hAnsi="Calibri" w:cs="Calibri"/>
          <w:sz w:val="22"/>
        </w:rPr>
        <w:t>.</w:t>
      </w:r>
    </w:p>
    <w:p w:rsidR="003A42D1" w:rsidRDefault="003A42D1" w:rsidP="003A42D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UE-UE bistatic </w:t>
      </w:r>
      <w:r w:rsidR="003B7618">
        <w:rPr>
          <w:rFonts w:ascii="Calibri" w:eastAsia="바탕" w:hAnsi="Calibri" w:cs="Calibri"/>
          <w:i/>
          <w:sz w:val="22"/>
        </w:rPr>
        <w:t xml:space="preserve">or UE monotstatic </w:t>
      </w:r>
      <w:r>
        <w:rPr>
          <w:rFonts w:ascii="Calibri" w:eastAsia="바탕" w:hAnsi="Calibri" w:cs="Calibri"/>
          <w:i/>
          <w:sz w:val="22"/>
        </w:rPr>
        <w:t xml:space="preserve">sensing mode </w:t>
      </w:r>
      <w:r w:rsidR="001816BF">
        <w:rPr>
          <w:rFonts w:ascii="Calibri" w:eastAsia="바탕" w:hAnsi="Calibri" w:cs="Calibri"/>
          <w:i/>
          <w:sz w:val="22"/>
        </w:rPr>
        <w:t>are</w:t>
      </w:r>
      <w:r>
        <w:rPr>
          <w:rFonts w:ascii="Calibri" w:eastAsia="바탕" w:hAnsi="Calibri" w:cs="Calibri"/>
          <w:i/>
          <w:sz w:val="22"/>
        </w:rPr>
        <w:t xml:space="preserve"> the only sensing mode</w:t>
      </w:r>
      <w:r w:rsidR="001816BF">
        <w:rPr>
          <w:rFonts w:ascii="Calibri" w:eastAsia="바탕" w:hAnsi="Calibri" w:cs="Calibri"/>
          <w:i/>
          <w:sz w:val="22"/>
        </w:rPr>
        <w:t>s</w:t>
      </w:r>
      <w:r>
        <w:rPr>
          <w:rFonts w:ascii="Calibri" w:eastAsia="바탕" w:hAnsi="Calibri" w:cs="Calibri"/>
          <w:i/>
          <w:sz w:val="22"/>
        </w:rPr>
        <w:t xml:space="preserve"> that can provide the sensing service in the out-of-network-coverage area.</w:t>
      </w:r>
    </w:p>
    <w:p w:rsidR="001816BF" w:rsidRDefault="005765F4" w:rsidP="001816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of the advantages that ISAC based sensing can provide compared to the traditional radar is the extended coverage of sensing service</w:t>
      </w:r>
      <w:r w:rsidR="001816BF">
        <w:rPr>
          <w:rFonts w:ascii="Calibri" w:eastAsia="바탕" w:hAnsi="Calibri" w:cs="Calibri"/>
          <w:sz w:val="22"/>
        </w:rPr>
        <w:t>.</w:t>
      </w:r>
      <w:r>
        <w:rPr>
          <w:rFonts w:ascii="Calibri" w:eastAsia="바탕" w:hAnsi="Calibri" w:cs="Calibri"/>
          <w:sz w:val="22"/>
        </w:rPr>
        <w:t xml:space="preserve"> For example, vehicle radar can detect an object within a limited range due to its transmission power constraint. If TRP is involved in sensing operation such as TRP-UE or UE-TRP bistatic sensing, it can provide a wider sensing coverage area that is comparable to that of the communication service.</w:t>
      </w:r>
    </w:p>
    <w:p w:rsidR="005765F4" w:rsidRDefault="005765F4" w:rsidP="001816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sensing modes that involves TRP is thought to be more economically beneficial in that the existing well-configured communication infrastructure such as base station or TRP can be reused for the sensing purpose.</w:t>
      </w:r>
    </w:p>
    <w:p w:rsidR="00B83FC8" w:rsidRDefault="00B83FC8" w:rsidP="00B83FC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4</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Sensing mode</w:t>
      </w:r>
      <w:r w:rsidR="001816BF">
        <w:rPr>
          <w:rFonts w:ascii="Calibri" w:eastAsia="바탕" w:hAnsi="Calibri" w:cs="Calibri"/>
          <w:i/>
          <w:sz w:val="22"/>
        </w:rPr>
        <w:t>s</w:t>
      </w:r>
      <w:r>
        <w:rPr>
          <w:rFonts w:ascii="Calibri" w:eastAsia="바탕" w:hAnsi="Calibri" w:cs="Calibri"/>
          <w:i/>
          <w:sz w:val="22"/>
        </w:rPr>
        <w:t xml:space="preserve"> that involves TRP(s) may provide a larger sensing service area, compared to one that involves UE(s) only.</w:t>
      </w:r>
    </w:p>
    <w:p w:rsidR="004673B3" w:rsidRDefault="004673B3" w:rsidP="004673B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Unlike TRP-TRP bistatic sensing that is not feasible at least for the terrestrial sensing use case, TRP-UE and UE-TRP bistatic sensing can provide the practical advantage. In the sensing coverage perspective, TRP </w:t>
      </w:r>
      <w:r>
        <w:rPr>
          <w:rFonts w:ascii="Calibri" w:eastAsia="바탕" w:hAnsi="Calibri" w:cs="Calibri"/>
          <w:sz w:val="22"/>
        </w:rPr>
        <w:lastRenderedPageBreak/>
        <w:t xml:space="preserve">can extend the sensing service coverge due to its high power transmission and well-configured network configuration. In addition, even though it’s not easy to find two TRPs that has LOS path to/from the </w:t>
      </w:r>
      <w:r w:rsidR="008B6B78">
        <w:rPr>
          <w:rFonts w:ascii="Calibri" w:eastAsia="바탕" w:hAnsi="Calibri" w:cs="Calibri"/>
          <w:sz w:val="22"/>
        </w:rPr>
        <w:t>sensing target</w:t>
      </w:r>
      <w:r>
        <w:rPr>
          <w:rFonts w:ascii="Calibri" w:eastAsia="바탕" w:hAnsi="Calibri" w:cs="Calibri"/>
          <w:sz w:val="22"/>
        </w:rPr>
        <w:t xml:space="preserve"> at the same time, it’s more probable to find an adjacent UE that are located nearby the </w:t>
      </w:r>
      <w:r w:rsidR="008B6B78">
        <w:rPr>
          <w:rFonts w:ascii="Calibri" w:eastAsia="바탕" w:hAnsi="Calibri" w:cs="Calibri"/>
          <w:sz w:val="22"/>
        </w:rPr>
        <w:t>sensing target</w:t>
      </w:r>
      <w:r>
        <w:rPr>
          <w:rFonts w:ascii="Calibri" w:eastAsia="바탕" w:hAnsi="Calibri" w:cs="Calibri"/>
          <w:sz w:val="22"/>
        </w:rPr>
        <w:t>. So, TRP-UE and UE-TRP bistatic sensing provides benefits from both sensing coverage and service availability perspective.</w:t>
      </w:r>
    </w:p>
    <w:p w:rsidR="00B83FC8" w:rsidRDefault="00B83FC8" w:rsidP="00B83FC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5</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TRP-UE or UE-TRP bistatic sensing mode may have benefits in </w:t>
      </w:r>
      <w:r w:rsidR="00ED7660">
        <w:rPr>
          <w:rFonts w:ascii="Calibri" w:eastAsia="바탕" w:hAnsi="Calibri" w:cs="Calibri"/>
          <w:i/>
          <w:sz w:val="22"/>
        </w:rPr>
        <w:t xml:space="preserve">the </w:t>
      </w:r>
      <w:r>
        <w:rPr>
          <w:rFonts w:ascii="Calibri" w:eastAsia="바탕" w:hAnsi="Calibri" w:cs="Calibri"/>
          <w:i/>
          <w:sz w:val="22"/>
        </w:rPr>
        <w:t>perspective of both coverage and availability of the sensing service.</w:t>
      </w:r>
    </w:p>
    <w:p w:rsidR="00E96896" w:rsidRDefault="00E96896" w:rsidP="00E968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It is well known that monostatic sensing requires the full duplex operation of Tx and Rx at the same time and same frequency. The implementation of such full duplex operation is quite challenging and expensive. The implementation issue is more problematic to UE than gNB/TRP in that it requires high cost and complex hardware. The implementation hurdle can be somewhat relaxed if a separate Tx and Rx antenna are located close in distance. However, this implementation approach still requires double amount of cost compared to bistatic sensing. </w:t>
      </w:r>
    </w:p>
    <w:p w:rsidR="00E96896" w:rsidRDefault="00E96896" w:rsidP="00E968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 the contrary, for bistatic sensing, Tx and Rx entities are separate entities so there is no such hardware complexity issue caused by the full duplex operation. Of course, the synchronization between Tx and Rx entities are pre-requisite for high performance sensing. So from the hardware complexity and the cost perspective, bistatic sensing seems more feasible than monostatic sensing.</w:t>
      </w:r>
    </w:p>
    <w:p w:rsidR="00283426" w:rsidRPr="00283426" w:rsidRDefault="00283426" w:rsidP="0011336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4A0D6E">
        <w:rPr>
          <w:rFonts w:ascii="Calibri" w:eastAsia="바탕" w:hAnsi="Calibri" w:cs="Calibri"/>
          <w:b/>
          <w:i/>
          <w:sz w:val="22"/>
        </w:rPr>
        <w:t xml:space="preserve"> 6</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hint="eastAsia"/>
          <w:i/>
          <w:sz w:val="22"/>
        </w:rPr>
        <w:t xml:space="preserve">Monostatic sensing mode requires full duplex </w:t>
      </w:r>
      <w:r w:rsidR="00801282">
        <w:rPr>
          <w:rFonts w:ascii="Calibri" w:eastAsia="바탕" w:hAnsi="Calibri" w:cs="Calibri"/>
          <w:i/>
          <w:sz w:val="22"/>
        </w:rPr>
        <w:t>operation</w:t>
      </w:r>
      <w:r>
        <w:rPr>
          <w:rFonts w:ascii="Calibri" w:eastAsia="바탕" w:hAnsi="Calibri" w:cs="Calibri" w:hint="eastAsia"/>
          <w:i/>
          <w:sz w:val="22"/>
        </w:rPr>
        <w:t>, which is not required in bistatic sensing mode</w:t>
      </w:r>
      <w:r>
        <w:rPr>
          <w:rFonts w:ascii="Calibri" w:eastAsia="바탕" w:hAnsi="Calibri" w:cs="Calibri"/>
          <w:i/>
          <w:sz w:val="22"/>
        </w:rPr>
        <w:t>.</w:t>
      </w:r>
    </w:p>
    <w:p w:rsidR="009D65E2" w:rsidRDefault="009D65E2" w:rsidP="009D65E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exception on the analysis in Observation 2 is the case of UAV detection. </w:t>
      </w:r>
      <w:r>
        <w:rPr>
          <w:rFonts w:ascii="Calibri" w:eastAsia="바탕" w:hAnsi="Calibri" w:cs="Calibri" w:hint="eastAsia"/>
          <w:sz w:val="22"/>
        </w:rPr>
        <w:t>A</w:t>
      </w:r>
      <w:r>
        <w:rPr>
          <w:rFonts w:ascii="Calibri" w:eastAsia="바탕" w:hAnsi="Calibri" w:cs="Calibri"/>
          <w:sz w:val="22"/>
        </w:rPr>
        <w:t xml:space="preserve">ccording to TR on </w:t>
      </w:r>
      <w:r w:rsidRPr="00241B6F">
        <w:rPr>
          <w:rFonts w:ascii="Calibri" w:eastAsia="바탕" w:hAnsi="Calibri" w:cs="Calibri"/>
          <w:sz w:val="22"/>
        </w:rPr>
        <w:t>Enhanced LTE support for aerial vehicles</w:t>
      </w:r>
      <w:r>
        <w:rPr>
          <w:rFonts w:ascii="Calibri" w:eastAsia="바탕" w:hAnsi="Calibri" w:cs="Calibri"/>
          <w:sz w:val="22"/>
        </w:rPr>
        <w:t xml:space="preserve"> [</w:t>
      </w:r>
      <w:r w:rsidR="00335ADF">
        <w:rPr>
          <w:rFonts w:ascii="Calibri" w:eastAsia="바탕" w:hAnsi="Calibri" w:cs="Calibri"/>
          <w:sz w:val="22"/>
        </w:rPr>
        <w:t>1</w:t>
      </w:r>
      <w:r>
        <w:rPr>
          <w:rFonts w:ascii="Calibri" w:eastAsia="바탕" w:hAnsi="Calibri" w:cs="Calibri"/>
          <w:sz w:val="22"/>
        </w:rPr>
        <w:t>], UAV receives DL interference from a larger number of cells than a typical terrestrial UE does due to the high LOS propagation probability. That means, unlike the terrestrial communication case, it’s more probable that UAV can see a strong LOS path from/to the multiple base stations or TRP. With the observation above, TRP-TRP bistatic sensing seems feasible solution for UAV detection use case.</w:t>
      </w:r>
    </w:p>
    <w:p w:rsidR="00B34B2A" w:rsidRDefault="00B34B2A" w:rsidP="00B34B2A">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CA31563" wp14:editId="37784411">
            <wp:extent cx="4776826" cy="1164631"/>
            <wp:effectExtent l="0" t="0" r="508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4475" cy="1173810"/>
                    </a:xfrm>
                    <a:prstGeom prst="rect">
                      <a:avLst/>
                    </a:prstGeom>
                    <a:noFill/>
                  </pic:spPr>
                </pic:pic>
              </a:graphicData>
            </a:graphic>
          </wp:inline>
        </w:drawing>
      </w:r>
    </w:p>
    <w:p w:rsidR="00B34B2A" w:rsidRDefault="00B34B2A" w:rsidP="00B34B2A">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Pr>
          <w:noProof/>
        </w:rPr>
        <w:t>4</w:t>
      </w:r>
      <w:r>
        <w:fldChar w:fldCharType="end"/>
      </w:r>
      <w:r>
        <w:t xml:space="preserve"> TRP-TRP bistatic sensing for UAV detection</w:t>
      </w:r>
    </w:p>
    <w:p w:rsidR="00181CF0" w:rsidRDefault="00181CF0" w:rsidP="00181CF0">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7</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detection of UAV use case, TRP-TRP bistatic sensing mode can be </w:t>
      </w:r>
      <w:r w:rsidR="00C3362B">
        <w:rPr>
          <w:rFonts w:ascii="Calibri" w:eastAsia="바탕" w:hAnsi="Calibri" w:cs="Calibri"/>
          <w:i/>
          <w:sz w:val="22"/>
        </w:rPr>
        <w:t>deploy</w:t>
      </w:r>
      <w:r>
        <w:rPr>
          <w:rFonts w:ascii="Calibri" w:eastAsia="바탕" w:hAnsi="Calibri" w:cs="Calibri"/>
          <w:i/>
          <w:sz w:val="22"/>
        </w:rPr>
        <w:t>ed based on the observation that UAV can see a large number of TRPs, compared to UE on the ground.</w:t>
      </w:r>
    </w:p>
    <w:p w:rsidR="005A7F98" w:rsidRDefault="005A7F98" w:rsidP="005A7F9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Another possible exception on the analysis in Observation 2 is the case of AGV or human detection in the indoor scenario (e.g. InF). Usually the indoor space is limited and the density of the deployed TRPs can be relatively high. In this situation, it’s probable that the sensing signal transmitted by one TRP is reflected by the sensing target and received by other TRP with the power level sufficient for sensing. Therefore, we think that TRP-TRP bistatic sensing may provide benefits for the sensing target detection in indoor deployment scenario.</w:t>
      </w:r>
    </w:p>
    <w:p w:rsidR="005A7F98" w:rsidRDefault="005A7F98" w:rsidP="005A7F9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Observation 8</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For detection of humans or AGV in indoor scenario, TRP-TRP bistatic sensing mode can be deployed based on the observation that the received reflection power level may be sufficient for sensing of the sensing target, depending on the density of the deployed TRPs.</w:t>
      </w:r>
    </w:p>
    <w:p w:rsidR="00386D63" w:rsidRDefault="00386D63" w:rsidP="00386D6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have the following agreement in RAN1#116 regarding the sensing targets and the associated evaluation scenarios.</w:t>
      </w:r>
    </w:p>
    <w:p w:rsidR="00386D63" w:rsidRPr="00061AF0" w:rsidRDefault="00386D63" w:rsidP="00386D63">
      <w:pPr>
        <w:widowControl/>
        <w:wordWrap/>
        <w:autoSpaceDE/>
        <w:autoSpaceDN/>
        <w:spacing w:after="0" w:line="240" w:lineRule="auto"/>
        <w:ind w:left="1134" w:hanging="1134"/>
        <w:jc w:val="left"/>
        <w:rPr>
          <w:rFonts w:ascii="Times" w:eastAsia="바탕" w:hAnsi="Times" w:cs="Times New Roman"/>
          <w:kern w:val="0"/>
          <w:szCs w:val="24"/>
          <w:highlight w:val="green"/>
          <w:lang w:val="en-GB" w:eastAsia="en-US"/>
        </w:rPr>
      </w:pPr>
      <w:r w:rsidRPr="00061AF0">
        <w:rPr>
          <w:rFonts w:ascii="Times" w:eastAsia="바탕" w:hAnsi="Times" w:cs="Times New Roman"/>
          <w:kern w:val="0"/>
          <w:szCs w:val="24"/>
          <w:highlight w:val="green"/>
          <w:lang w:val="en-GB" w:eastAsia="en-US"/>
        </w:rPr>
        <w:t>Agreement</w:t>
      </w:r>
    </w:p>
    <w:p w:rsidR="00386D63" w:rsidRPr="00061AF0" w:rsidRDefault="00386D63" w:rsidP="00386D63">
      <w:pPr>
        <w:widowControl/>
        <w:wordWrap/>
        <w:autoSpaceDE/>
        <w:autoSpaceDN/>
        <w:spacing w:after="0" w:line="240" w:lineRule="auto"/>
        <w:jc w:val="left"/>
        <w:rPr>
          <w:rFonts w:ascii="Times" w:eastAsia="바탕" w:hAnsi="Times" w:cs="Times New Roman"/>
          <w:kern w:val="0"/>
          <w:szCs w:val="24"/>
          <w:lang w:val="en-GB" w:eastAsia="x-none"/>
        </w:rPr>
      </w:pPr>
      <w:r w:rsidRPr="00061AF0">
        <w:rPr>
          <w:rFonts w:ascii="Times" w:eastAsia="바탕" w:hAnsi="Times" w:cs="Times New Roman"/>
          <w:kern w:val="0"/>
          <w:szCs w:val="24"/>
          <w:lang w:val="en-GB" w:eastAsia="x-none"/>
        </w:rPr>
        <w:t>For progressing ISAC study, the following sensing targets and existing communication scenarios will be considered as a starting point:</w:t>
      </w:r>
    </w:p>
    <w:p w:rsidR="00386D63" w:rsidRPr="00061AF0" w:rsidRDefault="00386D63" w:rsidP="00386D63">
      <w:pPr>
        <w:widowControl/>
        <w:numPr>
          <w:ilvl w:val="0"/>
          <w:numId w:val="33"/>
        </w:numPr>
        <w:wordWrap/>
        <w:autoSpaceDE/>
        <w:autoSpaceDN/>
        <w:spacing w:after="0" w:line="240" w:lineRule="auto"/>
        <w:jc w:val="left"/>
        <w:rPr>
          <w:rFonts w:ascii="Times" w:eastAsia="바탕" w:hAnsi="Times" w:cs="Times New Roman"/>
          <w:kern w:val="0"/>
          <w:szCs w:val="24"/>
          <w:lang w:val="en-GB" w:eastAsia="x-none"/>
        </w:rPr>
      </w:pPr>
      <w:r w:rsidRPr="00061AF0">
        <w:rPr>
          <w:rFonts w:ascii="Times" w:eastAsia="바탕" w:hAnsi="Times" w:cs="Times New Roman" w:hint="eastAsia"/>
          <w:kern w:val="0"/>
          <w:szCs w:val="24"/>
          <w:lang w:val="en-GB" w:eastAsia="x-none"/>
        </w:rPr>
        <w:t>N</w:t>
      </w:r>
      <w:r w:rsidRPr="00061AF0">
        <w:rPr>
          <w:rFonts w:ascii="Times" w:eastAsia="바탕" w:hAnsi="Times" w:cs="Times New Roman"/>
          <w:kern w:val="0"/>
          <w:szCs w:val="24"/>
          <w:lang w:val="en-GB" w:eastAsia="x-none"/>
        </w:rPr>
        <w:t>ote1: the table below does not imply that the sensing target will be placed at positions defined for UEs and BSs in the scenarios in the right column.</w:t>
      </w:r>
    </w:p>
    <w:p w:rsidR="00386D63" w:rsidRPr="00061AF0" w:rsidRDefault="00386D63" w:rsidP="00386D63">
      <w:pPr>
        <w:widowControl/>
        <w:numPr>
          <w:ilvl w:val="0"/>
          <w:numId w:val="33"/>
        </w:numPr>
        <w:wordWrap/>
        <w:autoSpaceDE/>
        <w:autoSpaceDN/>
        <w:spacing w:after="0" w:line="240" w:lineRule="auto"/>
        <w:jc w:val="left"/>
        <w:rPr>
          <w:rFonts w:ascii="Times" w:eastAsia="바탕" w:hAnsi="Times" w:cs="Times New Roman"/>
          <w:kern w:val="0"/>
          <w:szCs w:val="24"/>
          <w:lang w:val="en-GB" w:eastAsia="x-none"/>
        </w:rPr>
      </w:pPr>
      <w:r w:rsidRPr="00061AF0">
        <w:rPr>
          <w:rFonts w:ascii="Times" w:eastAsia="바탕" w:hAnsi="Times" w:cs="Times New Roman"/>
          <w:kern w:val="0"/>
          <w:szCs w:val="24"/>
          <w:lang w:val="en-GB" w:eastAsia="x-none"/>
        </w:rPr>
        <w:t>Note2: the table below does not imply that UEs are necessarily placed at positions defined for UEs in the scenarios in the right column.</w:t>
      </w:r>
    </w:p>
    <w:p w:rsidR="00386D63" w:rsidRPr="00061AF0" w:rsidRDefault="00386D63" w:rsidP="00386D63">
      <w:pPr>
        <w:widowControl/>
        <w:numPr>
          <w:ilvl w:val="0"/>
          <w:numId w:val="33"/>
        </w:numPr>
        <w:wordWrap/>
        <w:autoSpaceDE/>
        <w:autoSpaceDN/>
        <w:spacing w:after="0" w:line="240" w:lineRule="auto"/>
        <w:jc w:val="left"/>
        <w:rPr>
          <w:rFonts w:ascii="Times" w:eastAsia="바탕" w:hAnsi="Times" w:cs="Times New Roman"/>
          <w:kern w:val="0"/>
          <w:szCs w:val="24"/>
          <w:lang w:val="en-GB" w:eastAsia="x-none"/>
        </w:rPr>
      </w:pPr>
      <w:r w:rsidRPr="00061AF0">
        <w:rPr>
          <w:rFonts w:ascii="Times" w:eastAsia="바탕" w:hAnsi="Times" w:cs="Times New Roman" w:hint="eastAsia"/>
          <w:kern w:val="0"/>
          <w:szCs w:val="24"/>
          <w:lang w:val="en-GB" w:eastAsia="x-none"/>
        </w:rPr>
        <w:t>N</w:t>
      </w:r>
      <w:r w:rsidRPr="00061AF0">
        <w:rPr>
          <w:rFonts w:ascii="Times" w:eastAsia="바탕" w:hAnsi="Times" w:cs="Times New Roman"/>
          <w:kern w:val="0"/>
          <w:szCs w:val="24"/>
          <w:lang w:val="en-GB" w:eastAsia="x-none"/>
        </w:rPr>
        <w:t>ote3: the existing communication scenarios are listed with the intent to use the evaluation parameters defined for those scenarios, as a starting point.</w:t>
      </w:r>
    </w:p>
    <w:p w:rsidR="00386D63" w:rsidRPr="00061AF0" w:rsidRDefault="00386D63" w:rsidP="00386D63">
      <w:pPr>
        <w:widowControl/>
        <w:wordWrap/>
        <w:autoSpaceDE/>
        <w:autoSpaceDN/>
        <w:spacing w:after="0" w:line="240" w:lineRule="auto"/>
        <w:ind w:left="720"/>
        <w:jc w:val="left"/>
        <w:textAlignment w:val="baseline"/>
        <w:rPr>
          <w:rFonts w:ascii="Times" w:eastAsia="바탕" w:hAnsi="Times" w:cs="Times New Roman"/>
          <w:b/>
          <w:kern w:val="0"/>
          <w:szCs w:val="24"/>
          <w:lang w:val="en-GB" w:eastAsia="en-US"/>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386D63" w:rsidRPr="00061AF0" w:rsidTr="002B6F94">
        <w:tc>
          <w:tcPr>
            <w:tcW w:w="4426" w:type="dxa"/>
            <w:tcBorders>
              <w:top w:val="single" w:sz="4" w:space="0" w:color="000000"/>
              <w:left w:val="single" w:sz="4" w:space="0" w:color="000000"/>
              <w:bottom w:val="single" w:sz="4" w:space="0" w:color="000000"/>
              <w:right w:val="single" w:sz="4" w:space="0" w:color="000000"/>
            </w:tcBorders>
            <w:shd w:val="clear" w:color="auto" w:fill="D0CECE"/>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
                <w:kern w:val="0"/>
                <w:szCs w:val="24"/>
                <w:lang w:val="en-GB" w:eastAsia="en-US"/>
              </w:rPr>
            </w:pPr>
            <w:r w:rsidRPr="00061AF0">
              <w:rPr>
                <w:rFonts w:ascii="Times" w:eastAsia="바탕" w:hAnsi="Times" w:cs="Times New Roman"/>
                <w:b/>
                <w:kern w:val="0"/>
                <w:szCs w:val="24"/>
                <w:lang w:val="en-GB" w:eastAsia="en-US"/>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
                <w:kern w:val="0"/>
                <w:szCs w:val="24"/>
                <w:lang w:val="en-GB" w:eastAsia="en-US"/>
              </w:rPr>
            </w:pPr>
            <w:r w:rsidRPr="00061AF0">
              <w:rPr>
                <w:rFonts w:ascii="Times" w:eastAsia="바탕" w:hAnsi="Times" w:cs="Times New Roman"/>
                <w:b/>
                <w:kern w:val="0"/>
                <w:szCs w:val="24"/>
                <w:lang w:val="en-GB" w:eastAsia="en-US"/>
              </w:rPr>
              <w:t xml:space="preserve">scenarios </w:t>
            </w:r>
          </w:p>
        </w:tc>
      </w:tr>
      <w:tr w:rsidR="00386D63" w:rsidRPr="00061AF0" w:rsidTr="002B6F94">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sv-SE" w:eastAsia="en-US"/>
              </w:rPr>
            </w:pPr>
            <w:r w:rsidRPr="00061AF0">
              <w:rPr>
                <w:rFonts w:ascii="Times" w:eastAsia="바탕" w:hAnsi="Times" w:cs="Times New Roman"/>
                <w:bCs/>
                <w:kern w:val="0"/>
                <w:szCs w:val="24"/>
                <w:lang w:val="sv-SE" w:eastAsia="en-US"/>
              </w:rPr>
              <w:t xml:space="preserve">RMa-AV, UMa-AV, UMi-AV (TR 36.777) </w:t>
            </w:r>
          </w:p>
        </w:tc>
      </w:tr>
      <w:tr w:rsidR="00386D63" w:rsidRPr="00061AF0" w:rsidTr="002B6F94">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InF, Indoor Office, [Indoor Room (TR 38.808)], [UMi, UMa]</w:t>
            </w:r>
          </w:p>
        </w:tc>
      </w:tr>
      <w:tr w:rsidR="00386D63" w:rsidRPr="00061AF0" w:rsidTr="002B6F94">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UMi, UMa, [</w:t>
            </w:r>
            <w:r w:rsidRPr="00061AF0">
              <w:rPr>
                <w:rFonts w:ascii="Times" w:eastAsia="바탕" w:hAnsi="Times" w:cs="Times New Roman"/>
                <w:bCs/>
                <w:kern w:val="0"/>
                <w:szCs w:val="24"/>
                <w:lang w:val="sv-SE" w:eastAsia="en-US"/>
              </w:rPr>
              <w:t>RMa]</w:t>
            </w:r>
          </w:p>
        </w:tc>
      </w:tr>
      <w:tr w:rsidR="00386D63" w:rsidRPr="00061AF0" w:rsidTr="002B6F94">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Highway, Urban grid, UMa, UMi, RMa</w:t>
            </w:r>
          </w:p>
        </w:tc>
      </w:tr>
      <w:tr w:rsidR="00386D63" w:rsidRPr="00061AF0" w:rsidTr="002B6F94">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InF</w:t>
            </w:r>
          </w:p>
        </w:tc>
      </w:tr>
      <w:tr w:rsidR="00386D63" w:rsidRPr="00061AF0" w:rsidTr="002B6F94">
        <w:tc>
          <w:tcPr>
            <w:tcW w:w="4426"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rsidR="00386D63" w:rsidRPr="00061AF0" w:rsidRDefault="00386D63" w:rsidP="002B6F94">
            <w:pPr>
              <w:widowControl/>
              <w:wordWrap/>
              <w:autoSpaceDE/>
              <w:autoSpaceDN/>
              <w:spacing w:after="0" w:line="240" w:lineRule="auto"/>
              <w:jc w:val="left"/>
              <w:textAlignment w:val="baseline"/>
              <w:rPr>
                <w:rFonts w:ascii="Times" w:eastAsia="바탕" w:hAnsi="Times" w:cs="Times New Roman"/>
                <w:bCs/>
                <w:kern w:val="0"/>
                <w:szCs w:val="24"/>
                <w:lang w:val="en-GB" w:eastAsia="en-US"/>
              </w:rPr>
            </w:pPr>
            <w:r w:rsidRPr="00061AF0">
              <w:rPr>
                <w:rFonts w:ascii="Times" w:eastAsia="바탕" w:hAnsi="Times" w:cs="Times New Roman"/>
                <w:bCs/>
                <w:kern w:val="0"/>
                <w:szCs w:val="24"/>
                <w:lang w:val="en-GB" w:eastAsia="en-US"/>
              </w:rPr>
              <w:t>Highway, Urban grid, HST</w:t>
            </w:r>
          </w:p>
        </w:tc>
      </w:tr>
    </w:tbl>
    <w:p w:rsidR="0082336A" w:rsidRDefault="00D61B3B" w:rsidP="0082336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w:t>
      </w:r>
      <w:r w:rsidR="0082336A">
        <w:rPr>
          <w:rFonts w:ascii="Calibri" w:eastAsia="바탕" w:hAnsi="Calibri" w:cs="Calibri"/>
          <w:sz w:val="22"/>
        </w:rPr>
        <w:t xml:space="preserve">detection of </w:t>
      </w:r>
      <w:r w:rsidR="004E175A">
        <w:rPr>
          <w:rFonts w:ascii="Calibri" w:eastAsia="바탕" w:hAnsi="Calibri" w:cs="Calibri"/>
          <w:sz w:val="22"/>
        </w:rPr>
        <w:t xml:space="preserve">the </w:t>
      </w:r>
      <w:r w:rsidR="0082336A">
        <w:rPr>
          <w:rFonts w:ascii="Calibri" w:eastAsia="바탕" w:hAnsi="Calibri" w:cs="Calibri"/>
          <w:sz w:val="22"/>
        </w:rPr>
        <w:t>humans indoors</w:t>
      </w:r>
      <w:r>
        <w:rPr>
          <w:rFonts w:ascii="Calibri" w:eastAsia="바탕" w:hAnsi="Calibri" w:cs="Calibri"/>
          <w:sz w:val="22"/>
        </w:rPr>
        <w:t xml:space="preserve"> case,</w:t>
      </w:r>
      <w:r w:rsidR="0082336A">
        <w:rPr>
          <w:rFonts w:ascii="Calibri" w:eastAsia="바탕" w:hAnsi="Calibri" w:cs="Calibri"/>
          <w:sz w:val="22"/>
        </w:rPr>
        <w:t xml:space="preserve"> it’s not clear how to locate humans as sensing targets indoors based on UMi and UMa, which are used for the outdoor case. There is no definition on room environment in those scenarios, for example. So we suggest to remove UMi and UMa for human indoors case in the table above.</w:t>
      </w:r>
      <w:r w:rsidR="0082336A">
        <w:rPr>
          <w:rFonts w:ascii="Calibri" w:eastAsia="바탕" w:hAnsi="Calibri" w:cs="Calibri" w:hint="eastAsia"/>
          <w:sz w:val="22"/>
        </w:rPr>
        <w:t xml:space="preserve"> </w:t>
      </w:r>
      <w:r w:rsidR="0082336A">
        <w:rPr>
          <w:rFonts w:ascii="Calibri" w:eastAsia="바탕" w:hAnsi="Calibri" w:cs="Calibri"/>
          <w:sz w:val="22"/>
        </w:rPr>
        <w:t>We’re ok with the indoor room scenario defined in TR 38.808 in this regard. We suggest to remove the bracket for Indoor Room scenario in the table.</w:t>
      </w:r>
    </w:p>
    <w:p w:rsidR="009E5D9E" w:rsidRDefault="009E5D9E" w:rsidP="009E5D9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Pr="00FC3A33">
        <w:rPr>
          <w:rFonts w:ascii="Calibri" w:eastAsia="바탕" w:hAnsi="Calibri" w:cs="Calibri"/>
          <w:b/>
          <w:i/>
          <w:sz w:val="22"/>
        </w:rPr>
        <w:t>:</w:t>
      </w:r>
      <w:r w:rsidRPr="00FC3A33">
        <w:rPr>
          <w:rFonts w:ascii="Calibri" w:eastAsia="바탕" w:hAnsi="Calibri" w:cs="Calibri"/>
          <w:i/>
          <w:sz w:val="22"/>
        </w:rPr>
        <w:t xml:space="preserve"> </w:t>
      </w:r>
      <w:r w:rsidR="0082336A">
        <w:rPr>
          <w:rFonts w:ascii="Calibri" w:eastAsia="바탕" w:hAnsi="Calibri" w:cs="Calibri"/>
          <w:i/>
          <w:sz w:val="22"/>
        </w:rPr>
        <w:t>Remove UMi and UMa scenario, and remove the bracket for Indoor Room in Human indoors case</w:t>
      </w:r>
      <w:r w:rsidR="00D50085">
        <w:rPr>
          <w:rFonts w:ascii="Calibri" w:eastAsia="바탕" w:hAnsi="Calibri" w:cs="Calibri"/>
          <w:i/>
          <w:sz w:val="22"/>
        </w:rPr>
        <w:t xml:space="preserve"> in the previous agreement</w:t>
      </w:r>
      <w:r>
        <w:rPr>
          <w:rFonts w:ascii="Calibri" w:eastAsia="바탕" w:hAnsi="Calibri" w:cs="Calibri"/>
          <w:i/>
          <w:sz w:val="22"/>
        </w:rPr>
        <w:t>.</w:t>
      </w:r>
    </w:p>
    <w:p w:rsidR="004F6A20" w:rsidRDefault="001E2B10" w:rsidP="004F6A2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w:t>
      </w:r>
      <w:r w:rsidR="004F6A20">
        <w:rPr>
          <w:rFonts w:ascii="Calibri" w:eastAsia="바탕" w:hAnsi="Calibri" w:cs="Calibri"/>
          <w:sz w:val="22"/>
        </w:rPr>
        <w:t>or the evaluation of the</w:t>
      </w:r>
      <w:r w:rsidR="004E175A">
        <w:rPr>
          <w:rFonts w:ascii="Calibri" w:eastAsia="바탕" w:hAnsi="Calibri" w:cs="Calibri"/>
          <w:sz w:val="22"/>
        </w:rPr>
        <w:t xml:space="preserve"> humans outdoors, we don’t see a reason to exclude RMa scenario, which should also be the target evaluation scenario in our understanding</w:t>
      </w:r>
      <w:r w:rsidR="00DD7E0A">
        <w:rPr>
          <w:rFonts w:ascii="Calibri" w:eastAsia="바탕" w:hAnsi="Calibri" w:cs="Calibri"/>
          <w:sz w:val="22"/>
        </w:rPr>
        <w:t>.</w:t>
      </w:r>
      <w:r w:rsidR="004E175A">
        <w:rPr>
          <w:rFonts w:ascii="Calibri" w:eastAsia="바탕" w:hAnsi="Calibri" w:cs="Calibri"/>
          <w:sz w:val="22"/>
        </w:rPr>
        <w:t xml:space="preserve"> Humans outdoor in a rural area should be able to be detected anyway. We suggest to remove the bracket for RMa scenario in Human outdoors case.</w:t>
      </w:r>
    </w:p>
    <w:p w:rsidR="009E5D9E" w:rsidRDefault="009E5D9E" w:rsidP="009E5D9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sidRPr="00FC3A33">
        <w:rPr>
          <w:rFonts w:ascii="Calibri" w:eastAsia="바탕" w:hAnsi="Calibri" w:cs="Calibri"/>
          <w:b/>
          <w:i/>
          <w:sz w:val="22"/>
        </w:rPr>
        <w:t>:</w:t>
      </w:r>
      <w:r w:rsidRPr="00FC3A33">
        <w:rPr>
          <w:rFonts w:ascii="Calibri" w:eastAsia="바탕" w:hAnsi="Calibri" w:cs="Calibri"/>
          <w:i/>
          <w:sz w:val="22"/>
        </w:rPr>
        <w:t xml:space="preserve"> </w:t>
      </w:r>
      <w:r w:rsidR="004E175A">
        <w:rPr>
          <w:rFonts w:ascii="Calibri" w:eastAsia="바탕" w:hAnsi="Calibri" w:cs="Calibri"/>
          <w:i/>
          <w:sz w:val="22"/>
        </w:rPr>
        <w:t>Remove the bracket for RMa scenario in Human outdoors case</w:t>
      </w:r>
      <w:r w:rsidR="00D50085">
        <w:rPr>
          <w:rFonts w:ascii="Calibri" w:eastAsia="바탕" w:hAnsi="Calibri" w:cs="Calibri"/>
          <w:i/>
          <w:sz w:val="22"/>
        </w:rPr>
        <w:t xml:space="preserve"> in the previous agreement</w:t>
      </w:r>
      <w:r>
        <w:rPr>
          <w:rFonts w:ascii="Calibri" w:eastAsia="바탕" w:hAnsi="Calibri" w:cs="Calibri"/>
          <w:i/>
          <w:sz w:val="22"/>
        </w:rPr>
        <w:t>.</w:t>
      </w:r>
    </w:p>
    <w:p w:rsidR="008541E8" w:rsidRDefault="001E2B10" w:rsidP="005C226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existing evaluation scenarios </w:t>
      </w:r>
      <w:r w:rsidR="00061AF0">
        <w:rPr>
          <w:rFonts w:ascii="Calibri" w:eastAsia="바탕" w:hAnsi="Calibri" w:cs="Calibri"/>
          <w:sz w:val="22"/>
        </w:rPr>
        <w:t>list</w:t>
      </w:r>
      <w:r>
        <w:rPr>
          <w:rFonts w:ascii="Calibri" w:eastAsia="바탕" w:hAnsi="Calibri" w:cs="Calibri"/>
          <w:sz w:val="22"/>
        </w:rPr>
        <w:t xml:space="preserve">ed above, multiple UEs are </w:t>
      </w:r>
      <w:r w:rsidR="00061AF0">
        <w:rPr>
          <w:rFonts w:ascii="Calibri" w:eastAsia="바탕" w:hAnsi="Calibri" w:cs="Calibri"/>
          <w:sz w:val="22"/>
        </w:rPr>
        <w:t>deploy</w:t>
      </w:r>
      <w:r>
        <w:rPr>
          <w:rFonts w:ascii="Calibri" w:eastAsia="바탕" w:hAnsi="Calibri" w:cs="Calibri"/>
          <w:sz w:val="22"/>
        </w:rPr>
        <w:t xml:space="preserve">ed for </w:t>
      </w:r>
      <w:r w:rsidR="00061AF0">
        <w:rPr>
          <w:rFonts w:ascii="Calibri" w:eastAsia="바탕" w:hAnsi="Calibri" w:cs="Calibri"/>
          <w:sz w:val="22"/>
        </w:rPr>
        <w:t xml:space="preserve">the </w:t>
      </w:r>
      <w:r>
        <w:rPr>
          <w:rFonts w:ascii="Calibri" w:eastAsia="바탕" w:hAnsi="Calibri" w:cs="Calibri"/>
          <w:sz w:val="22"/>
        </w:rPr>
        <w:t xml:space="preserve">evaluation of the communication performance. </w:t>
      </w:r>
      <w:r w:rsidR="00061AF0">
        <w:rPr>
          <w:rFonts w:ascii="Calibri" w:eastAsia="바탕" w:hAnsi="Calibri" w:cs="Calibri"/>
          <w:sz w:val="22"/>
        </w:rPr>
        <w:t>W</w:t>
      </w:r>
      <w:r>
        <w:rPr>
          <w:rFonts w:ascii="Calibri" w:eastAsia="바탕" w:hAnsi="Calibri" w:cs="Calibri"/>
          <w:sz w:val="22"/>
        </w:rPr>
        <w:t xml:space="preserve">e need to define how to </w:t>
      </w:r>
      <w:r w:rsidR="00061AF0">
        <w:rPr>
          <w:rFonts w:ascii="Calibri" w:eastAsia="바탕" w:hAnsi="Calibri" w:cs="Calibri"/>
          <w:sz w:val="22"/>
        </w:rPr>
        <w:t>locat</w:t>
      </w:r>
      <w:r>
        <w:rPr>
          <w:rFonts w:ascii="Calibri" w:eastAsia="바탕" w:hAnsi="Calibri" w:cs="Calibri"/>
          <w:sz w:val="22"/>
        </w:rPr>
        <w:t xml:space="preserve">e </w:t>
      </w:r>
      <w:r w:rsidR="00061AF0">
        <w:rPr>
          <w:rFonts w:ascii="Calibri" w:eastAsia="바탕" w:hAnsi="Calibri" w:cs="Calibri"/>
          <w:sz w:val="22"/>
        </w:rPr>
        <w:t xml:space="preserve">the </w:t>
      </w:r>
      <w:r w:rsidR="008B6B78">
        <w:rPr>
          <w:rFonts w:ascii="Calibri" w:eastAsia="바탕" w:hAnsi="Calibri" w:cs="Calibri"/>
          <w:sz w:val="22"/>
        </w:rPr>
        <w:t>sensing target</w:t>
      </w:r>
      <w:r w:rsidR="00061AF0">
        <w:rPr>
          <w:rFonts w:ascii="Calibri" w:eastAsia="바탕" w:hAnsi="Calibri" w:cs="Calibri"/>
          <w:sz w:val="22"/>
        </w:rPr>
        <w:t>s in the evaluation scenarios for the evaluation of ISAC operation.</w:t>
      </w:r>
      <w:r w:rsidR="0014360D">
        <w:rPr>
          <w:rFonts w:ascii="Calibri" w:eastAsia="바탕" w:hAnsi="Calibri" w:cs="Calibri"/>
          <w:sz w:val="22"/>
        </w:rPr>
        <w:t xml:space="preserve"> Similar to the evaluation of the communication performance, we think that the multiple </w:t>
      </w:r>
      <w:r w:rsidR="008B6B78">
        <w:rPr>
          <w:rFonts w:ascii="Calibri" w:eastAsia="바탕" w:hAnsi="Calibri" w:cs="Calibri"/>
          <w:sz w:val="22"/>
        </w:rPr>
        <w:t>sensing target</w:t>
      </w:r>
      <w:r w:rsidR="0014360D">
        <w:rPr>
          <w:rFonts w:ascii="Calibri" w:eastAsia="바탕" w:hAnsi="Calibri" w:cs="Calibri"/>
          <w:sz w:val="22"/>
        </w:rPr>
        <w:t>s can be deployed in the evaluation scenario.</w:t>
      </w:r>
    </w:p>
    <w:p w:rsidR="0014360D" w:rsidRDefault="0014360D" w:rsidP="001436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More specifically, only sensing targets are deployed in the evaluation scenario, which is associated to the very sensing targets. That is, for the use case of the automotive vehicle detection, only vehicles are allowed to be deployed as </w:t>
      </w:r>
      <w:r w:rsidR="00C91D7B">
        <w:rPr>
          <w:rFonts w:ascii="Calibri" w:eastAsia="바탕" w:hAnsi="Calibri" w:cs="Calibri"/>
          <w:sz w:val="22"/>
        </w:rPr>
        <w:t>a sensing target. No human or UAV are deployed in the scenario.</w:t>
      </w:r>
    </w:p>
    <w:p w:rsidR="00C91D7B" w:rsidRDefault="00C91D7B" w:rsidP="00C91D7B">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3:</w:t>
      </w:r>
      <w:r w:rsidRPr="00D255E6">
        <w:rPr>
          <w:rFonts w:ascii="Calibri" w:eastAsia="바탕" w:hAnsi="Calibri" w:cs="Calibri"/>
          <w:i/>
          <w:sz w:val="22"/>
        </w:rPr>
        <w:t xml:space="preserve"> Only the relevant type of sensing target is deployed in the associated evaluation scenario.</w:t>
      </w:r>
    </w:p>
    <w:p w:rsidR="006E0E2D" w:rsidRDefault="00C91D7B" w:rsidP="00C91D7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The second issue regarding the deployment of the sensing target is whether or not to deploy multiple sensing targets in each scenario. The simplest approach is just to allow a single target per iteration in the simulation. It’s beneficial for simulation complexity point of view, but not realistic assumption. If we deploy multiple sensing targets per simulation iteration, we can try to detect all the sensing targets and count the number of successfully detected sensing targets.</w:t>
      </w:r>
    </w:p>
    <w:p w:rsidR="00C91D7B" w:rsidRDefault="00C91D7B" w:rsidP="00C91D7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issue is the channel modeling of the reflection paths among the </w:t>
      </w:r>
      <w:r w:rsidR="008B6B78">
        <w:rPr>
          <w:rFonts w:ascii="Calibri" w:eastAsia="바탕" w:hAnsi="Calibri" w:cs="Calibri"/>
          <w:sz w:val="22"/>
        </w:rPr>
        <w:t>sensing target</w:t>
      </w:r>
      <w:r>
        <w:rPr>
          <w:rFonts w:ascii="Calibri" w:eastAsia="바탕" w:hAnsi="Calibri" w:cs="Calibri"/>
          <w:sz w:val="22"/>
        </w:rPr>
        <w:t xml:space="preserve">s, which are expected to be ray-traced in channel modeling. This may impose larger simulation burden compared to the single </w:t>
      </w:r>
      <w:r w:rsidR="008B6B78">
        <w:rPr>
          <w:rFonts w:ascii="Calibri" w:eastAsia="바탕" w:hAnsi="Calibri" w:cs="Calibri"/>
          <w:sz w:val="22"/>
        </w:rPr>
        <w:t>sensing target</w:t>
      </w:r>
      <w:r>
        <w:rPr>
          <w:rFonts w:ascii="Calibri" w:eastAsia="바탕" w:hAnsi="Calibri" w:cs="Calibri"/>
          <w:sz w:val="22"/>
        </w:rPr>
        <w:t xml:space="preserve"> deployment case.</w:t>
      </w:r>
      <w:r>
        <w:rPr>
          <w:rFonts w:ascii="Calibri" w:eastAsia="바탕" w:hAnsi="Calibri" w:cs="Calibri" w:hint="eastAsia"/>
          <w:sz w:val="22"/>
        </w:rPr>
        <w:t xml:space="preserve"> </w:t>
      </w:r>
      <w:r>
        <w:rPr>
          <w:rFonts w:ascii="Calibri" w:eastAsia="바탕" w:hAnsi="Calibri" w:cs="Calibri"/>
          <w:sz w:val="22"/>
        </w:rPr>
        <w:t xml:space="preserve">One of the practical solution would be to limit the number of reflections among the </w:t>
      </w:r>
      <w:r w:rsidR="008B6B78">
        <w:rPr>
          <w:rFonts w:ascii="Calibri" w:eastAsia="바탕" w:hAnsi="Calibri" w:cs="Calibri"/>
          <w:sz w:val="22"/>
        </w:rPr>
        <w:t>sensing target</w:t>
      </w:r>
      <w:r>
        <w:rPr>
          <w:rFonts w:ascii="Calibri" w:eastAsia="바탕" w:hAnsi="Calibri" w:cs="Calibri"/>
          <w:sz w:val="22"/>
        </w:rPr>
        <w:t xml:space="preserve">s, so that the amount of simulation can be affordable. In our opinion, </w:t>
      </w:r>
      <w:r w:rsidR="00C6504E">
        <w:rPr>
          <w:rFonts w:ascii="Calibri" w:eastAsia="바탕" w:hAnsi="Calibri" w:cs="Calibri"/>
          <w:sz w:val="22"/>
        </w:rPr>
        <w:t>RCS value of the sensing target is usually small, so the 2</w:t>
      </w:r>
      <w:r w:rsidR="00C6504E" w:rsidRPr="00C6504E">
        <w:rPr>
          <w:rFonts w:ascii="Calibri" w:eastAsia="바탕" w:hAnsi="Calibri" w:cs="Calibri"/>
          <w:sz w:val="22"/>
          <w:vertAlign w:val="superscript"/>
        </w:rPr>
        <w:t>nd</w:t>
      </w:r>
      <w:r w:rsidR="00C6504E">
        <w:rPr>
          <w:rFonts w:ascii="Calibri" w:eastAsia="바탕" w:hAnsi="Calibri" w:cs="Calibri"/>
          <w:sz w:val="22"/>
        </w:rPr>
        <w:t xml:space="preserve"> order reflection causes significant reduction in the signal power</w:t>
      </w:r>
      <w:r w:rsidR="006E0E2D">
        <w:rPr>
          <w:rFonts w:ascii="Calibri" w:eastAsia="바탕" w:hAnsi="Calibri" w:cs="Calibri"/>
          <w:sz w:val="22"/>
        </w:rPr>
        <w:t>.</w:t>
      </w:r>
      <w:r w:rsidR="00C6504E">
        <w:rPr>
          <w:rFonts w:ascii="Calibri" w:eastAsia="바탕" w:hAnsi="Calibri" w:cs="Calibri"/>
          <w:sz w:val="22"/>
        </w:rPr>
        <w:t xml:space="preserve"> As a result, the 2</w:t>
      </w:r>
      <w:r w:rsidR="00C6504E" w:rsidRPr="00C6504E">
        <w:rPr>
          <w:rFonts w:ascii="Calibri" w:eastAsia="바탕" w:hAnsi="Calibri" w:cs="Calibri"/>
          <w:sz w:val="22"/>
          <w:vertAlign w:val="superscript"/>
        </w:rPr>
        <w:t>nd</w:t>
      </w:r>
      <w:r w:rsidR="00C6504E">
        <w:rPr>
          <w:rFonts w:ascii="Calibri" w:eastAsia="바탕" w:hAnsi="Calibri" w:cs="Calibri"/>
          <w:sz w:val="22"/>
        </w:rPr>
        <w:t xml:space="preserve"> order reflection </w:t>
      </w:r>
      <w:r w:rsidR="00B74D19">
        <w:rPr>
          <w:rFonts w:ascii="Calibri" w:eastAsia="바탕" w:hAnsi="Calibri" w:cs="Calibri"/>
          <w:sz w:val="22"/>
        </w:rPr>
        <w:t xml:space="preserve">between the </w:t>
      </w:r>
      <w:r w:rsidR="008B6B78">
        <w:rPr>
          <w:rFonts w:ascii="Calibri" w:eastAsia="바탕" w:hAnsi="Calibri" w:cs="Calibri"/>
          <w:sz w:val="22"/>
        </w:rPr>
        <w:t>sensing target</w:t>
      </w:r>
      <w:r w:rsidR="00B74D19">
        <w:rPr>
          <w:rFonts w:ascii="Calibri" w:eastAsia="바탕" w:hAnsi="Calibri" w:cs="Calibri"/>
          <w:sz w:val="22"/>
        </w:rPr>
        <w:t xml:space="preserve">s </w:t>
      </w:r>
      <w:r w:rsidR="00C6504E">
        <w:rPr>
          <w:rFonts w:ascii="Calibri" w:eastAsia="바탕" w:hAnsi="Calibri" w:cs="Calibri"/>
          <w:sz w:val="22"/>
        </w:rPr>
        <w:t>can be considered negligible in the received power.</w:t>
      </w:r>
    </w:p>
    <w:p w:rsidR="006E0E2D" w:rsidRDefault="006E0E2D" w:rsidP="006E0E2D">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4:</w:t>
      </w:r>
      <w:r w:rsidRPr="00D255E6">
        <w:rPr>
          <w:rFonts w:ascii="Calibri" w:eastAsia="바탕" w:hAnsi="Calibri" w:cs="Calibri"/>
          <w:i/>
          <w:sz w:val="22"/>
        </w:rPr>
        <w:t xml:space="preserve"> Multiple relevant type of sensing targets are deployed in the associated evaluation scenario.</w:t>
      </w:r>
    </w:p>
    <w:p w:rsidR="006E0E2D" w:rsidRDefault="006E0E2D" w:rsidP="006E0E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remaining issue is the location of the sensing targets in the evaluation scenario. Considering the situational properties of each scenario, the sensing targets can be located in random position. For example, in vehicle detection scenarios, the vehicles (i.e. sensing targets) are located in random positions on the road.</w:t>
      </w:r>
    </w:p>
    <w:p w:rsidR="006E0E2D" w:rsidRDefault="006E0E2D" w:rsidP="006E0E2D">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5:</w:t>
      </w:r>
      <w:r w:rsidRPr="00D255E6">
        <w:rPr>
          <w:rFonts w:ascii="Calibri" w:eastAsia="바탕" w:hAnsi="Calibri" w:cs="Calibri"/>
          <w:i/>
          <w:sz w:val="22"/>
        </w:rPr>
        <w:t xml:space="preserve"> </w:t>
      </w:r>
      <w:r w:rsidR="005B15E7">
        <w:rPr>
          <w:rFonts w:ascii="Calibri" w:eastAsia="바탕" w:hAnsi="Calibri" w:cs="Calibri"/>
          <w:i/>
          <w:sz w:val="22"/>
        </w:rPr>
        <w:t>The</w:t>
      </w:r>
      <w:r w:rsidRPr="00D255E6">
        <w:rPr>
          <w:rFonts w:ascii="Calibri" w:eastAsia="바탕" w:hAnsi="Calibri" w:cs="Calibri"/>
          <w:i/>
          <w:sz w:val="22"/>
        </w:rPr>
        <w:t xml:space="preserve"> sensing targets are deployed </w:t>
      </w:r>
      <w:r w:rsidR="005B15E7">
        <w:rPr>
          <w:rFonts w:ascii="Calibri" w:eastAsia="바탕" w:hAnsi="Calibri" w:cs="Calibri"/>
          <w:i/>
          <w:sz w:val="22"/>
        </w:rPr>
        <w:t xml:space="preserve">at random positions </w:t>
      </w:r>
      <w:r w:rsidRPr="00D255E6">
        <w:rPr>
          <w:rFonts w:ascii="Calibri" w:eastAsia="바탕" w:hAnsi="Calibri" w:cs="Calibri"/>
          <w:i/>
          <w:sz w:val="22"/>
        </w:rPr>
        <w:t>in the associated evaluation scenario.</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7251E"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745F1">
        <w:rPr>
          <w:rFonts w:ascii="Calibri" w:eastAsia="바탕" w:hAnsi="Calibri" w:cs="Calibri"/>
          <w:sz w:val="22"/>
        </w:rPr>
        <w:t>the deployment scenarios for the ISAC channel modeling</w:t>
      </w:r>
      <w:r w:rsidR="009745F1"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 xml:space="preserve">ed. The following </w:t>
      </w:r>
      <w:r w:rsidR="006B48ED">
        <w:rPr>
          <w:rFonts w:ascii="Calibri" w:eastAsia="바탕" w:hAnsi="Calibri" w:cs="Calibri"/>
          <w:sz w:val="22"/>
        </w:rPr>
        <w:t>observation</w:t>
      </w:r>
      <w:r w:rsidRPr="008B2BE5">
        <w:rPr>
          <w:rFonts w:ascii="Calibri" w:eastAsia="바탕" w:hAnsi="Calibri" w:cs="Calibri"/>
          <w:sz w:val="22"/>
        </w:rPr>
        <w:t xml:space="preserve">s </w:t>
      </w:r>
      <w:r w:rsidR="009745F1">
        <w:rPr>
          <w:rFonts w:ascii="Calibri" w:eastAsia="바탕" w:hAnsi="Calibri" w:cs="Calibri"/>
          <w:sz w:val="22"/>
        </w:rPr>
        <w:t xml:space="preserve">and proposals </w:t>
      </w:r>
      <w:r w:rsidRPr="008B2BE5">
        <w:rPr>
          <w:rFonts w:ascii="Calibri" w:eastAsia="바탕" w:hAnsi="Calibri" w:cs="Calibri"/>
          <w:sz w:val="22"/>
        </w:rPr>
        <w:t>were made as conclusion</w:t>
      </w:r>
      <w:r w:rsidR="009745F1">
        <w:rPr>
          <w:rFonts w:ascii="Calibri" w:eastAsia="바탕" w:hAnsi="Calibri" w:cs="Calibri"/>
          <w:sz w:val="22"/>
        </w:rPr>
        <w:t>s</w:t>
      </w:r>
      <w:r w:rsidRPr="008B2BE5">
        <w:rPr>
          <w:rFonts w:ascii="Calibri" w:eastAsia="바탕" w:hAnsi="Calibri" w:cs="Calibri"/>
          <w:sz w:val="22"/>
        </w:rPr>
        <w:t>.</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1</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Bistatic sensing can provide almost same coverage as communication, whereas the monostatic sensing provides much smaller coverage than communication.</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TRP-TRP bistatic sensing mode may suffer both significant pathloss due to the distance and limited service availability due to the absence of LOS to/from the object.</w:t>
      </w:r>
    </w:p>
    <w:p w:rsidR="009745F1" w:rsidRP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UE-UE bistatic or UE monotstatic sensing mode are the only sensing modes that can provide the sensing service in the out-of-network-coverage area.</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4</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Sensing modes that involves TRP(s) may provide a larger sensing service area, compared to one that involves UE(s) only.</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5</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TRP-UE or UE-TRP bistatic sensing mode may have benefits in the perspective of both coverage and availability of the sensing service.</w:t>
      </w:r>
    </w:p>
    <w:p w:rsidR="009745F1" w:rsidRPr="00283426"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6</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hint="eastAsia"/>
          <w:i/>
          <w:sz w:val="22"/>
        </w:rPr>
        <w:t xml:space="preserve">Monostatic sensing mode requires full duplex </w:t>
      </w:r>
      <w:r>
        <w:rPr>
          <w:rFonts w:ascii="Calibri" w:eastAsia="바탕" w:hAnsi="Calibri" w:cs="Calibri"/>
          <w:i/>
          <w:sz w:val="22"/>
        </w:rPr>
        <w:t>operation</w:t>
      </w:r>
      <w:r>
        <w:rPr>
          <w:rFonts w:ascii="Calibri" w:eastAsia="바탕" w:hAnsi="Calibri" w:cs="Calibri" w:hint="eastAsia"/>
          <w:i/>
          <w:sz w:val="22"/>
        </w:rPr>
        <w:t>, which is not required in bistatic sensing mode</w:t>
      </w:r>
      <w:r>
        <w:rPr>
          <w:rFonts w:ascii="Calibri" w:eastAsia="바탕" w:hAnsi="Calibri" w:cs="Calibri"/>
          <w:i/>
          <w:sz w:val="22"/>
        </w:rPr>
        <w:t>.</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7</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For detection of UAV use case, TRP-TRP bistatic sensing mode can be deployed based on the observation that UAV can see a large number of TRPs, compared to UE on the ground.</w:t>
      </w:r>
    </w:p>
    <w:p w:rsidR="005A7F98" w:rsidRDefault="005A7F98" w:rsidP="005A7F9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Observation 8</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For detection of humans or AGV in indoor scenario, TRP-TRP bistatic sensing mode can be deployed based on the observation that the received reflection power level may be sufficient for sensing of the sensing target, depending on the density of the deployed TRPs.</w:t>
      </w:r>
    </w:p>
    <w:p w:rsidR="005C2268" w:rsidRDefault="005C2268" w:rsidP="005C226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Remove UMi and UMa scenario, and remove the bracket for Indoor Room in Human indoors case</w:t>
      </w:r>
      <w:r w:rsidR="00D50085">
        <w:rPr>
          <w:rFonts w:ascii="Calibri" w:eastAsia="바탕" w:hAnsi="Calibri" w:cs="Calibri"/>
          <w:i/>
          <w:sz w:val="22"/>
        </w:rPr>
        <w:t xml:space="preserve"> in the previous agreement</w:t>
      </w:r>
      <w:r>
        <w:rPr>
          <w:rFonts w:ascii="Calibri" w:eastAsia="바탕" w:hAnsi="Calibri" w:cs="Calibri"/>
          <w:i/>
          <w:sz w:val="22"/>
        </w:rPr>
        <w:t>.</w:t>
      </w:r>
    </w:p>
    <w:p w:rsidR="005C2268" w:rsidRDefault="005C2268" w:rsidP="005C226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Remove the bracket for RMa scenario in Human outdoors case</w:t>
      </w:r>
      <w:r w:rsidR="00D50085">
        <w:rPr>
          <w:rFonts w:ascii="Calibri" w:eastAsia="바탕" w:hAnsi="Calibri" w:cs="Calibri"/>
          <w:i/>
          <w:sz w:val="22"/>
        </w:rPr>
        <w:t xml:space="preserve"> in the previous agreement</w:t>
      </w:r>
      <w:r>
        <w:rPr>
          <w:rFonts w:ascii="Calibri" w:eastAsia="바탕" w:hAnsi="Calibri" w:cs="Calibri"/>
          <w:i/>
          <w:sz w:val="22"/>
        </w:rPr>
        <w:t>.</w:t>
      </w:r>
    </w:p>
    <w:p w:rsidR="00D255E6" w:rsidRDefault="00D255E6" w:rsidP="00D255E6">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3:</w:t>
      </w:r>
      <w:r w:rsidRPr="00D255E6">
        <w:rPr>
          <w:rFonts w:ascii="Calibri" w:eastAsia="바탕" w:hAnsi="Calibri" w:cs="Calibri"/>
          <w:i/>
          <w:sz w:val="22"/>
        </w:rPr>
        <w:t xml:space="preserve"> Only the relevant type of sensing target is deployed in the associated evaluation scenario.</w:t>
      </w:r>
    </w:p>
    <w:p w:rsidR="00D255E6" w:rsidRDefault="00D255E6" w:rsidP="00D255E6">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4:</w:t>
      </w:r>
      <w:r w:rsidRPr="00D255E6">
        <w:rPr>
          <w:rFonts w:ascii="Calibri" w:eastAsia="바탕" w:hAnsi="Calibri" w:cs="Calibri"/>
          <w:i/>
          <w:sz w:val="22"/>
        </w:rPr>
        <w:t xml:space="preserve"> Multiple relevant type of sensing targets are deployed in the associated evaluation scenario.</w:t>
      </w:r>
    </w:p>
    <w:p w:rsidR="005B15E7" w:rsidRDefault="005B15E7" w:rsidP="005B15E7">
      <w:pPr>
        <w:wordWrap/>
        <w:adjustRightInd w:val="0"/>
        <w:snapToGrid w:val="0"/>
        <w:spacing w:before="100" w:beforeAutospacing="1" w:after="100" w:afterAutospacing="1" w:line="264" w:lineRule="auto"/>
        <w:rPr>
          <w:rFonts w:ascii="Calibri" w:eastAsia="바탕" w:hAnsi="Calibri" w:cs="Calibri"/>
          <w:i/>
          <w:sz w:val="22"/>
        </w:rPr>
      </w:pPr>
      <w:r w:rsidRPr="00D255E6">
        <w:rPr>
          <w:rFonts w:ascii="Calibri" w:eastAsia="바탕" w:hAnsi="Calibri" w:cs="Calibri"/>
          <w:b/>
          <w:i/>
          <w:sz w:val="22"/>
        </w:rPr>
        <w:t>Proposal 5:</w:t>
      </w:r>
      <w:r w:rsidRPr="00D255E6">
        <w:rPr>
          <w:rFonts w:ascii="Calibri" w:eastAsia="바탕" w:hAnsi="Calibri" w:cs="Calibri"/>
          <w:i/>
          <w:sz w:val="22"/>
        </w:rPr>
        <w:t xml:space="preserve"> </w:t>
      </w:r>
      <w:r>
        <w:rPr>
          <w:rFonts w:ascii="Calibri" w:eastAsia="바탕" w:hAnsi="Calibri" w:cs="Calibri"/>
          <w:i/>
          <w:sz w:val="22"/>
        </w:rPr>
        <w:t>The</w:t>
      </w:r>
      <w:r w:rsidRPr="00D255E6">
        <w:rPr>
          <w:rFonts w:ascii="Calibri" w:eastAsia="바탕" w:hAnsi="Calibri" w:cs="Calibri"/>
          <w:i/>
          <w:sz w:val="22"/>
        </w:rPr>
        <w:t xml:space="preserve"> sensing targets are deployed </w:t>
      </w:r>
      <w:r>
        <w:rPr>
          <w:rFonts w:ascii="Calibri" w:eastAsia="바탕" w:hAnsi="Calibri" w:cs="Calibri"/>
          <w:i/>
          <w:sz w:val="22"/>
        </w:rPr>
        <w:t xml:space="preserve">at random positions </w:t>
      </w:r>
      <w:r w:rsidRPr="00D255E6">
        <w:rPr>
          <w:rFonts w:ascii="Calibri" w:eastAsia="바탕" w:hAnsi="Calibri" w:cs="Calibri"/>
          <w:i/>
          <w:sz w:val="22"/>
        </w:rPr>
        <w:t>in the associated evaluation scenario.</w:t>
      </w:r>
    </w:p>
    <w:p w:rsidR="004D5EEE" w:rsidRPr="008B2BE5" w:rsidRDefault="004D5EEE" w:rsidP="004D5EE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8541E8" w:rsidRPr="008541E8" w:rsidRDefault="008541E8" w:rsidP="004D5EEE">
      <w:pPr>
        <w:wordWrap/>
        <w:adjustRightInd w:val="0"/>
        <w:snapToGrid w:val="0"/>
        <w:spacing w:before="100" w:beforeAutospacing="1" w:afterLines="50" w:after="120" w:line="264" w:lineRule="auto"/>
        <w:rPr>
          <w:rFonts w:ascii="Calibri" w:eastAsia="바탕" w:hAnsi="Calibri" w:cs="Calibri"/>
          <w:sz w:val="22"/>
          <w:lang w:val="en-GB"/>
        </w:rPr>
      </w:pPr>
      <w:r>
        <w:rPr>
          <w:rFonts w:ascii="Calibri" w:eastAsia="바탕" w:hAnsi="Calibri" w:cs="Calibri"/>
          <w:sz w:val="22"/>
        </w:rPr>
        <w:t>[</w:t>
      </w:r>
      <w:r w:rsidR="00335ADF">
        <w:rPr>
          <w:rFonts w:ascii="Calibri" w:eastAsia="바탕" w:hAnsi="Calibri" w:cs="Calibri"/>
          <w:sz w:val="22"/>
        </w:rPr>
        <w:t>1</w:t>
      </w:r>
      <w:r>
        <w:rPr>
          <w:rFonts w:ascii="Calibri" w:eastAsia="바탕" w:hAnsi="Calibri" w:cs="Calibri"/>
          <w:sz w:val="22"/>
        </w:rPr>
        <w:t>] TR 36.777, “</w:t>
      </w:r>
      <w:r w:rsidRPr="008541E8">
        <w:rPr>
          <w:rFonts w:ascii="Calibri" w:eastAsia="바탕" w:hAnsi="Calibri" w:cs="Calibri"/>
          <w:sz w:val="22"/>
        </w:rPr>
        <w:t>Study on Enhanced LTE Support for Aerial Vehicles</w:t>
      </w:r>
      <w:r>
        <w:rPr>
          <w:rFonts w:ascii="Calibri" w:eastAsia="바탕" w:hAnsi="Calibri" w:cs="Calibri"/>
          <w:sz w:val="22"/>
        </w:rPr>
        <w:t>,” v15.0.0, 3GPP, Dec. 2017</w:t>
      </w:r>
    </w:p>
    <w:sectPr w:rsidR="008541E8" w:rsidRPr="008541E8"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753" w:rsidRDefault="00926753">
      <w:pPr>
        <w:spacing w:after="0" w:line="240" w:lineRule="auto"/>
      </w:pPr>
      <w:r>
        <w:separator/>
      </w:r>
    </w:p>
  </w:endnote>
  <w:endnote w:type="continuationSeparator" w:id="0">
    <w:p w:rsidR="00926753" w:rsidRDefault="00926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3719A" w:rsidRDefault="0003719A">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A78F2">
      <w:rPr>
        <w:rStyle w:val="a8"/>
        <w:noProof/>
      </w:rPr>
      <w:t>1</w:t>
    </w:r>
    <w:r>
      <w:rPr>
        <w:rStyle w:val="a8"/>
      </w:rPr>
      <w:fldChar w:fldCharType="end"/>
    </w:r>
  </w:p>
  <w:p w:rsidR="0003719A" w:rsidRDefault="0003719A">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753" w:rsidRDefault="00926753">
      <w:pPr>
        <w:spacing w:after="0" w:line="240" w:lineRule="auto"/>
      </w:pPr>
      <w:r>
        <w:separator/>
      </w:r>
    </w:p>
  </w:footnote>
  <w:footnote w:type="continuationSeparator" w:id="0">
    <w:p w:rsidR="00926753" w:rsidRDefault="009267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945B10"/>
    <w:multiLevelType w:val="hybridMultilevel"/>
    <w:tmpl w:val="7BAC13C4"/>
    <w:lvl w:ilvl="0" w:tplc="F9282A8A">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1" w15:restartNumberingAfterBreak="0">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30"/>
  </w:num>
  <w:num w:numId="3">
    <w:abstractNumId w:val="32"/>
  </w:num>
  <w:num w:numId="4">
    <w:abstractNumId w:val="19"/>
  </w:num>
  <w:num w:numId="5">
    <w:abstractNumId w:val="27"/>
  </w:num>
  <w:num w:numId="6">
    <w:abstractNumId w:val="15"/>
  </w:num>
  <w:num w:numId="7">
    <w:abstractNumId w:val="20"/>
  </w:num>
  <w:num w:numId="8">
    <w:abstractNumId w:val="29"/>
  </w:num>
  <w:num w:numId="9">
    <w:abstractNumId w:val="31"/>
  </w:num>
  <w:num w:numId="10">
    <w:abstractNumId w:val="8"/>
  </w:num>
  <w:num w:numId="11">
    <w:abstractNumId w:val="24"/>
  </w:num>
  <w:num w:numId="12">
    <w:abstractNumId w:val="17"/>
  </w:num>
  <w:num w:numId="13">
    <w:abstractNumId w:val="2"/>
  </w:num>
  <w:num w:numId="14">
    <w:abstractNumId w:val="0"/>
  </w:num>
  <w:num w:numId="15">
    <w:abstractNumId w:val="28"/>
  </w:num>
  <w:num w:numId="16">
    <w:abstractNumId w:val="22"/>
  </w:num>
  <w:num w:numId="17">
    <w:abstractNumId w:val="18"/>
  </w:num>
  <w:num w:numId="18">
    <w:abstractNumId w:val="11"/>
  </w:num>
  <w:num w:numId="19">
    <w:abstractNumId w:val="4"/>
  </w:num>
  <w:num w:numId="20">
    <w:abstractNumId w:val="21"/>
  </w:num>
  <w:num w:numId="21">
    <w:abstractNumId w:val="25"/>
  </w:num>
  <w:num w:numId="22">
    <w:abstractNumId w:val="14"/>
  </w:num>
  <w:num w:numId="23">
    <w:abstractNumId w:val="23"/>
  </w:num>
  <w:num w:numId="24">
    <w:abstractNumId w:val="33"/>
  </w:num>
  <w:num w:numId="25">
    <w:abstractNumId w:val="13"/>
  </w:num>
  <w:num w:numId="26">
    <w:abstractNumId w:val="1"/>
  </w:num>
  <w:num w:numId="27">
    <w:abstractNumId w:val="5"/>
  </w:num>
  <w:num w:numId="28">
    <w:abstractNumId w:val="10"/>
  </w:num>
  <w:num w:numId="29">
    <w:abstractNumId w:val="26"/>
  </w:num>
  <w:num w:numId="30">
    <w:abstractNumId w:val="7"/>
  </w:num>
  <w:num w:numId="31">
    <w:abstractNumId w:val="16"/>
  </w:num>
  <w:num w:numId="32">
    <w:abstractNumId w:val="6"/>
  </w:num>
  <w:num w:numId="33">
    <w:abstractNumId w:val="3"/>
  </w:num>
  <w:num w:numId="3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A7F"/>
    <w:rsid w:val="00006BA2"/>
    <w:rsid w:val="00012AF7"/>
    <w:rsid w:val="00014FEE"/>
    <w:rsid w:val="0001527A"/>
    <w:rsid w:val="00015F86"/>
    <w:rsid w:val="000160E9"/>
    <w:rsid w:val="0002159A"/>
    <w:rsid w:val="00024AF2"/>
    <w:rsid w:val="000254D1"/>
    <w:rsid w:val="00025CC1"/>
    <w:rsid w:val="00026303"/>
    <w:rsid w:val="00027F8B"/>
    <w:rsid w:val="000305CF"/>
    <w:rsid w:val="00030AF3"/>
    <w:rsid w:val="00032B8D"/>
    <w:rsid w:val="00033606"/>
    <w:rsid w:val="00034C7F"/>
    <w:rsid w:val="000353B5"/>
    <w:rsid w:val="00035A25"/>
    <w:rsid w:val="00035E88"/>
    <w:rsid w:val="00036196"/>
    <w:rsid w:val="00036296"/>
    <w:rsid w:val="0003630A"/>
    <w:rsid w:val="000365EE"/>
    <w:rsid w:val="00036CF8"/>
    <w:rsid w:val="0003719A"/>
    <w:rsid w:val="0004178B"/>
    <w:rsid w:val="000422DC"/>
    <w:rsid w:val="000432F5"/>
    <w:rsid w:val="000434FA"/>
    <w:rsid w:val="00043771"/>
    <w:rsid w:val="000441FA"/>
    <w:rsid w:val="0004498A"/>
    <w:rsid w:val="00045D6E"/>
    <w:rsid w:val="00045D9A"/>
    <w:rsid w:val="00046E12"/>
    <w:rsid w:val="0005020C"/>
    <w:rsid w:val="00051ED0"/>
    <w:rsid w:val="00052C6D"/>
    <w:rsid w:val="00055402"/>
    <w:rsid w:val="00056AE2"/>
    <w:rsid w:val="00056E6A"/>
    <w:rsid w:val="00061AF0"/>
    <w:rsid w:val="00062917"/>
    <w:rsid w:val="0006476A"/>
    <w:rsid w:val="00064C36"/>
    <w:rsid w:val="00064E0D"/>
    <w:rsid w:val="000657A8"/>
    <w:rsid w:val="00065CE5"/>
    <w:rsid w:val="000709A6"/>
    <w:rsid w:val="000718BF"/>
    <w:rsid w:val="000735EC"/>
    <w:rsid w:val="00073773"/>
    <w:rsid w:val="00074A17"/>
    <w:rsid w:val="00077054"/>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ABE"/>
    <w:rsid w:val="000C2285"/>
    <w:rsid w:val="000C38FF"/>
    <w:rsid w:val="000C41F4"/>
    <w:rsid w:val="000C503C"/>
    <w:rsid w:val="000C5C3F"/>
    <w:rsid w:val="000C5C7C"/>
    <w:rsid w:val="000C7274"/>
    <w:rsid w:val="000D0510"/>
    <w:rsid w:val="000D0D04"/>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48CC"/>
    <w:rsid w:val="000F4C83"/>
    <w:rsid w:val="000F6A0C"/>
    <w:rsid w:val="000F7689"/>
    <w:rsid w:val="000F7E1D"/>
    <w:rsid w:val="00100197"/>
    <w:rsid w:val="00100590"/>
    <w:rsid w:val="00102B4D"/>
    <w:rsid w:val="001048DE"/>
    <w:rsid w:val="001056F2"/>
    <w:rsid w:val="001075DD"/>
    <w:rsid w:val="00112DC3"/>
    <w:rsid w:val="00113367"/>
    <w:rsid w:val="0011634A"/>
    <w:rsid w:val="00116DD3"/>
    <w:rsid w:val="00117EC5"/>
    <w:rsid w:val="00124560"/>
    <w:rsid w:val="001268E3"/>
    <w:rsid w:val="00130344"/>
    <w:rsid w:val="0013097A"/>
    <w:rsid w:val="00131B6F"/>
    <w:rsid w:val="001323EA"/>
    <w:rsid w:val="001324E2"/>
    <w:rsid w:val="0013514B"/>
    <w:rsid w:val="001351A0"/>
    <w:rsid w:val="00135811"/>
    <w:rsid w:val="00135E21"/>
    <w:rsid w:val="00136DB8"/>
    <w:rsid w:val="001423F0"/>
    <w:rsid w:val="0014360D"/>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6BF"/>
    <w:rsid w:val="001818E1"/>
    <w:rsid w:val="00181CF0"/>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11AB"/>
    <w:rsid w:val="001B14CC"/>
    <w:rsid w:val="001B45D4"/>
    <w:rsid w:val="001B4FA4"/>
    <w:rsid w:val="001B4FE0"/>
    <w:rsid w:val="001B7B3D"/>
    <w:rsid w:val="001C0D87"/>
    <w:rsid w:val="001C1659"/>
    <w:rsid w:val="001C3114"/>
    <w:rsid w:val="001C5EE6"/>
    <w:rsid w:val="001C6241"/>
    <w:rsid w:val="001D0485"/>
    <w:rsid w:val="001D120D"/>
    <w:rsid w:val="001D1F50"/>
    <w:rsid w:val="001D243C"/>
    <w:rsid w:val="001D2EA5"/>
    <w:rsid w:val="001D6C45"/>
    <w:rsid w:val="001E0BF5"/>
    <w:rsid w:val="001E10DC"/>
    <w:rsid w:val="001E2B10"/>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3A23"/>
    <w:rsid w:val="00224048"/>
    <w:rsid w:val="002251DE"/>
    <w:rsid w:val="00225504"/>
    <w:rsid w:val="00227272"/>
    <w:rsid w:val="002304E0"/>
    <w:rsid w:val="00231D6D"/>
    <w:rsid w:val="002324CC"/>
    <w:rsid w:val="0023268E"/>
    <w:rsid w:val="002358AA"/>
    <w:rsid w:val="00235DC8"/>
    <w:rsid w:val="002400AB"/>
    <w:rsid w:val="002406D6"/>
    <w:rsid w:val="00241B6F"/>
    <w:rsid w:val="0024216D"/>
    <w:rsid w:val="00242373"/>
    <w:rsid w:val="00245B93"/>
    <w:rsid w:val="00247298"/>
    <w:rsid w:val="002508C2"/>
    <w:rsid w:val="002509F9"/>
    <w:rsid w:val="00250CC3"/>
    <w:rsid w:val="00251EE9"/>
    <w:rsid w:val="002530CC"/>
    <w:rsid w:val="002553FD"/>
    <w:rsid w:val="002558F0"/>
    <w:rsid w:val="00256E76"/>
    <w:rsid w:val="002626CE"/>
    <w:rsid w:val="00263966"/>
    <w:rsid w:val="0026615E"/>
    <w:rsid w:val="002665A6"/>
    <w:rsid w:val="00267807"/>
    <w:rsid w:val="002711B8"/>
    <w:rsid w:val="00272083"/>
    <w:rsid w:val="002722A5"/>
    <w:rsid w:val="002743C6"/>
    <w:rsid w:val="002758FA"/>
    <w:rsid w:val="00276D45"/>
    <w:rsid w:val="00276D94"/>
    <w:rsid w:val="002771D1"/>
    <w:rsid w:val="00277763"/>
    <w:rsid w:val="00277FD5"/>
    <w:rsid w:val="002800D5"/>
    <w:rsid w:val="00280A69"/>
    <w:rsid w:val="00281BD9"/>
    <w:rsid w:val="002822B9"/>
    <w:rsid w:val="00283426"/>
    <w:rsid w:val="00284632"/>
    <w:rsid w:val="00285F68"/>
    <w:rsid w:val="00286E97"/>
    <w:rsid w:val="00286F61"/>
    <w:rsid w:val="002878E7"/>
    <w:rsid w:val="002901B2"/>
    <w:rsid w:val="00290F8E"/>
    <w:rsid w:val="00293572"/>
    <w:rsid w:val="0029642D"/>
    <w:rsid w:val="002A0161"/>
    <w:rsid w:val="002A1ED8"/>
    <w:rsid w:val="002A2805"/>
    <w:rsid w:val="002A424E"/>
    <w:rsid w:val="002A47AA"/>
    <w:rsid w:val="002A5661"/>
    <w:rsid w:val="002A7406"/>
    <w:rsid w:val="002A78F2"/>
    <w:rsid w:val="002B1EB4"/>
    <w:rsid w:val="002B204A"/>
    <w:rsid w:val="002B2100"/>
    <w:rsid w:val="002B436E"/>
    <w:rsid w:val="002B5256"/>
    <w:rsid w:val="002B58BD"/>
    <w:rsid w:val="002B7425"/>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1A9"/>
    <w:rsid w:val="002D7AD6"/>
    <w:rsid w:val="002E0F0E"/>
    <w:rsid w:val="002E1146"/>
    <w:rsid w:val="002E12DC"/>
    <w:rsid w:val="002E3D2C"/>
    <w:rsid w:val="002E419A"/>
    <w:rsid w:val="002E4386"/>
    <w:rsid w:val="002E4F84"/>
    <w:rsid w:val="002E7850"/>
    <w:rsid w:val="002F1604"/>
    <w:rsid w:val="002F1D26"/>
    <w:rsid w:val="002F5E62"/>
    <w:rsid w:val="002F6AE7"/>
    <w:rsid w:val="00300DB5"/>
    <w:rsid w:val="00301B7F"/>
    <w:rsid w:val="00302D80"/>
    <w:rsid w:val="00304345"/>
    <w:rsid w:val="00305818"/>
    <w:rsid w:val="00305F28"/>
    <w:rsid w:val="003061C7"/>
    <w:rsid w:val="003076B7"/>
    <w:rsid w:val="00307F0A"/>
    <w:rsid w:val="00311822"/>
    <w:rsid w:val="00311E5B"/>
    <w:rsid w:val="00312375"/>
    <w:rsid w:val="00312D95"/>
    <w:rsid w:val="00312F1A"/>
    <w:rsid w:val="00313CA1"/>
    <w:rsid w:val="00315D65"/>
    <w:rsid w:val="003161E5"/>
    <w:rsid w:val="003165BF"/>
    <w:rsid w:val="00320CC4"/>
    <w:rsid w:val="00320EDC"/>
    <w:rsid w:val="00321359"/>
    <w:rsid w:val="003219B0"/>
    <w:rsid w:val="00321C7D"/>
    <w:rsid w:val="0032744C"/>
    <w:rsid w:val="0033155A"/>
    <w:rsid w:val="00331DEA"/>
    <w:rsid w:val="003331BB"/>
    <w:rsid w:val="003332F9"/>
    <w:rsid w:val="00333FD6"/>
    <w:rsid w:val="0033473C"/>
    <w:rsid w:val="00335ADF"/>
    <w:rsid w:val="00336EA7"/>
    <w:rsid w:val="0033731C"/>
    <w:rsid w:val="00342AF2"/>
    <w:rsid w:val="003464E1"/>
    <w:rsid w:val="00346601"/>
    <w:rsid w:val="00347025"/>
    <w:rsid w:val="00347622"/>
    <w:rsid w:val="00351BA4"/>
    <w:rsid w:val="00352EC5"/>
    <w:rsid w:val="00353F78"/>
    <w:rsid w:val="00354841"/>
    <w:rsid w:val="003559E7"/>
    <w:rsid w:val="00355E00"/>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A7"/>
    <w:rsid w:val="00372AEC"/>
    <w:rsid w:val="00372B2E"/>
    <w:rsid w:val="00374992"/>
    <w:rsid w:val="00375651"/>
    <w:rsid w:val="00376569"/>
    <w:rsid w:val="0038094D"/>
    <w:rsid w:val="00381AC4"/>
    <w:rsid w:val="00382219"/>
    <w:rsid w:val="003852A4"/>
    <w:rsid w:val="00385743"/>
    <w:rsid w:val="0038585F"/>
    <w:rsid w:val="003866DB"/>
    <w:rsid w:val="00386D63"/>
    <w:rsid w:val="00390078"/>
    <w:rsid w:val="00390125"/>
    <w:rsid w:val="003924C8"/>
    <w:rsid w:val="00392564"/>
    <w:rsid w:val="003948B7"/>
    <w:rsid w:val="00394C6F"/>
    <w:rsid w:val="003A0176"/>
    <w:rsid w:val="003A15D2"/>
    <w:rsid w:val="003A1650"/>
    <w:rsid w:val="003A1A91"/>
    <w:rsid w:val="003A3C7A"/>
    <w:rsid w:val="003A42D1"/>
    <w:rsid w:val="003A43E5"/>
    <w:rsid w:val="003A48CB"/>
    <w:rsid w:val="003A60B5"/>
    <w:rsid w:val="003A7683"/>
    <w:rsid w:val="003B01C3"/>
    <w:rsid w:val="003B097A"/>
    <w:rsid w:val="003B32DA"/>
    <w:rsid w:val="003B346C"/>
    <w:rsid w:val="003B427B"/>
    <w:rsid w:val="003B7618"/>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40305A"/>
    <w:rsid w:val="004037D4"/>
    <w:rsid w:val="00410F61"/>
    <w:rsid w:val="004117B9"/>
    <w:rsid w:val="004142E5"/>
    <w:rsid w:val="004158EA"/>
    <w:rsid w:val="00415FC1"/>
    <w:rsid w:val="004160C9"/>
    <w:rsid w:val="00417973"/>
    <w:rsid w:val="00417D55"/>
    <w:rsid w:val="004203C3"/>
    <w:rsid w:val="00420BB1"/>
    <w:rsid w:val="00421A25"/>
    <w:rsid w:val="00422250"/>
    <w:rsid w:val="004233CE"/>
    <w:rsid w:val="004236E7"/>
    <w:rsid w:val="0042407D"/>
    <w:rsid w:val="004241EA"/>
    <w:rsid w:val="0042476F"/>
    <w:rsid w:val="00424FDA"/>
    <w:rsid w:val="00430105"/>
    <w:rsid w:val="00430173"/>
    <w:rsid w:val="004304FF"/>
    <w:rsid w:val="00430610"/>
    <w:rsid w:val="00430A15"/>
    <w:rsid w:val="0043151D"/>
    <w:rsid w:val="0043186D"/>
    <w:rsid w:val="0043342A"/>
    <w:rsid w:val="00433876"/>
    <w:rsid w:val="0043458C"/>
    <w:rsid w:val="00435016"/>
    <w:rsid w:val="00440058"/>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673B3"/>
    <w:rsid w:val="00467E30"/>
    <w:rsid w:val="0047036A"/>
    <w:rsid w:val="00471350"/>
    <w:rsid w:val="00473979"/>
    <w:rsid w:val="00473E0C"/>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0D6E"/>
    <w:rsid w:val="004A3DEC"/>
    <w:rsid w:val="004A7CF7"/>
    <w:rsid w:val="004B1029"/>
    <w:rsid w:val="004B1411"/>
    <w:rsid w:val="004B1986"/>
    <w:rsid w:val="004B520C"/>
    <w:rsid w:val="004C06F5"/>
    <w:rsid w:val="004C0CAF"/>
    <w:rsid w:val="004C0D93"/>
    <w:rsid w:val="004C148B"/>
    <w:rsid w:val="004C1997"/>
    <w:rsid w:val="004C5F6D"/>
    <w:rsid w:val="004C7404"/>
    <w:rsid w:val="004D2D81"/>
    <w:rsid w:val="004D4819"/>
    <w:rsid w:val="004D5EEE"/>
    <w:rsid w:val="004D725D"/>
    <w:rsid w:val="004E175A"/>
    <w:rsid w:val="004E1F40"/>
    <w:rsid w:val="004E5C7C"/>
    <w:rsid w:val="004E66F5"/>
    <w:rsid w:val="004E6DAA"/>
    <w:rsid w:val="004E7A28"/>
    <w:rsid w:val="004F07E9"/>
    <w:rsid w:val="004F2A2D"/>
    <w:rsid w:val="004F2D28"/>
    <w:rsid w:val="004F6A20"/>
    <w:rsid w:val="004F6D12"/>
    <w:rsid w:val="00500CA0"/>
    <w:rsid w:val="00502119"/>
    <w:rsid w:val="0050354D"/>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30026"/>
    <w:rsid w:val="0053017B"/>
    <w:rsid w:val="0053343C"/>
    <w:rsid w:val="005368A1"/>
    <w:rsid w:val="00537652"/>
    <w:rsid w:val="005434A6"/>
    <w:rsid w:val="005438E8"/>
    <w:rsid w:val="00543CFB"/>
    <w:rsid w:val="00544966"/>
    <w:rsid w:val="00545E81"/>
    <w:rsid w:val="00551489"/>
    <w:rsid w:val="005524BF"/>
    <w:rsid w:val="005531BB"/>
    <w:rsid w:val="00557755"/>
    <w:rsid w:val="00557AFB"/>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765F4"/>
    <w:rsid w:val="005766B6"/>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A7F98"/>
    <w:rsid w:val="005B0E4D"/>
    <w:rsid w:val="005B15E7"/>
    <w:rsid w:val="005B2FBF"/>
    <w:rsid w:val="005B34D6"/>
    <w:rsid w:val="005B42FF"/>
    <w:rsid w:val="005B5B21"/>
    <w:rsid w:val="005B6ABD"/>
    <w:rsid w:val="005C0404"/>
    <w:rsid w:val="005C10C4"/>
    <w:rsid w:val="005C1221"/>
    <w:rsid w:val="005C2268"/>
    <w:rsid w:val="005C44B1"/>
    <w:rsid w:val="005C63E8"/>
    <w:rsid w:val="005C7A65"/>
    <w:rsid w:val="005D0A9D"/>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500F2"/>
    <w:rsid w:val="00650B67"/>
    <w:rsid w:val="006515C9"/>
    <w:rsid w:val="00651719"/>
    <w:rsid w:val="0065587D"/>
    <w:rsid w:val="00655FB8"/>
    <w:rsid w:val="00660ECE"/>
    <w:rsid w:val="006613C4"/>
    <w:rsid w:val="00661DFA"/>
    <w:rsid w:val="00664C41"/>
    <w:rsid w:val="00664D65"/>
    <w:rsid w:val="00666328"/>
    <w:rsid w:val="00670141"/>
    <w:rsid w:val="00671797"/>
    <w:rsid w:val="00671E5D"/>
    <w:rsid w:val="006727D7"/>
    <w:rsid w:val="00672820"/>
    <w:rsid w:val="0067368C"/>
    <w:rsid w:val="0067378C"/>
    <w:rsid w:val="00673AFF"/>
    <w:rsid w:val="006758AC"/>
    <w:rsid w:val="00675B89"/>
    <w:rsid w:val="00675C7D"/>
    <w:rsid w:val="00676630"/>
    <w:rsid w:val="00677BF9"/>
    <w:rsid w:val="0068058A"/>
    <w:rsid w:val="00680F03"/>
    <w:rsid w:val="00681E37"/>
    <w:rsid w:val="00683DB9"/>
    <w:rsid w:val="00684CDF"/>
    <w:rsid w:val="00685658"/>
    <w:rsid w:val="006874CA"/>
    <w:rsid w:val="00691F30"/>
    <w:rsid w:val="00692F8F"/>
    <w:rsid w:val="00694B93"/>
    <w:rsid w:val="0069658D"/>
    <w:rsid w:val="00696787"/>
    <w:rsid w:val="00696AE2"/>
    <w:rsid w:val="006978C5"/>
    <w:rsid w:val="006A1939"/>
    <w:rsid w:val="006A2195"/>
    <w:rsid w:val="006A3484"/>
    <w:rsid w:val="006A79F5"/>
    <w:rsid w:val="006A7FBF"/>
    <w:rsid w:val="006B0BC2"/>
    <w:rsid w:val="006B2009"/>
    <w:rsid w:val="006B2AF5"/>
    <w:rsid w:val="006B2FAF"/>
    <w:rsid w:val="006B3194"/>
    <w:rsid w:val="006B33FB"/>
    <w:rsid w:val="006B48ED"/>
    <w:rsid w:val="006B6325"/>
    <w:rsid w:val="006B6E81"/>
    <w:rsid w:val="006B7274"/>
    <w:rsid w:val="006B758A"/>
    <w:rsid w:val="006C47AA"/>
    <w:rsid w:val="006C5413"/>
    <w:rsid w:val="006C55C6"/>
    <w:rsid w:val="006C674B"/>
    <w:rsid w:val="006C6836"/>
    <w:rsid w:val="006C7BB2"/>
    <w:rsid w:val="006D0BDA"/>
    <w:rsid w:val="006D16F6"/>
    <w:rsid w:val="006D24F1"/>
    <w:rsid w:val="006D6F09"/>
    <w:rsid w:val="006E0E11"/>
    <w:rsid w:val="006E0E2D"/>
    <w:rsid w:val="006E389B"/>
    <w:rsid w:val="006E4AAA"/>
    <w:rsid w:val="006E4DDF"/>
    <w:rsid w:val="006E5101"/>
    <w:rsid w:val="006E72B1"/>
    <w:rsid w:val="006F0BBE"/>
    <w:rsid w:val="006F1964"/>
    <w:rsid w:val="006F1EB6"/>
    <w:rsid w:val="006F27F0"/>
    <w:rsid w:val="006F31F5"/>
    <w:rsid w:val="006F4C7A"/>
    <w:rsid w:val="006F6357"/>
    <w:rsid w:val="006F6521"/>
    <w:rsid w:val="006F67B9"/>
    <w:rsid w:val="006F799E"/>
    <w:rsid w:val="007016E4"/>
    <w:rsid w:val="00703973"/>
    <w:rsid w:val="0070494A"/>
    <w:rsid w:val="0070506A"/>
    <w:rsid w:val="007075AF"/>
    <w:rsid w:val="007076F1"/>
    <w:rsid w:val="0071025A"/>
    <w:rsid w:val="007129B7"/>
    <w:rsid w:val="00712BD1"/>
    <w:rsid w:val="00713554"/>
    <w:rsid w:val="007149B1"/>
    <w:rsid w:val="007155BB"/>
    <w:rsid w:val="00715971"/>
    <w:rsid w:val="00717BB6"/>
    <w:rsid w:val="00720D62"/>
    <w:rsid w:val="00723CA7"/>
    <w:rsid w:val="0072524A"/>
    <w:rsid w:val="00726AC8"/>
    <w:rsid w:val="0072799E"/>
    <w:rsid w:val="007314A6"/>
    <w:rsid w:val="00731CB6"/>
    <w:rsid w:val="007322D4"/>
    <w:rsid w:val="00732F86"/>
    <w:rsid w:val="0073307F"/>
    <w:rsid w:val="00734CC2"/>
    <w:rsid w:val="00735998"/>
    <w:rsid w:val="00740FEF"/>
    <w:rsid w:val="00741547"/>
    <w:rsid w:val="00741B4A"/>
    <w:rsid w:val="00741D27"/>
    <w:rsid w:val="007445DE"/>
    <w:rsid w:val="007450E5"/>
    <w:rsid w:val="007452CE"/>
    <w:rsid w:val="00745647"/>
    <w:rsid w:val="0074697F"/>
    <w:rsid w:val="00750474"/>
    <w:rsid w:val="00750E17"/>
    <w:rsid w:val="00751C3F"/>
    <w:rsid w:val="007527D1"/>
    <w:rsid w:val="00754E7F"/>
    <w:rsid w:val="00755AAB"/>
    <w:rsid w:val="0075737C"/>
    <w:rsid w:val="007578F5"/>
    <w:rsid w:val="0076075D"/>
    <w:rsid w:val="00761014"/>
    <w:rsid w:val="0076152F"/>
    <w:rsid w:val="00761B3D"/>
    <w:rsid w:val="00762E4E"/>
    <w:rsid w:val="007661AB"/>
    <w:rsid w:val="007668F4"/>
    <w:rsid w:val="0076696E"/>
    <w:rsid w:val="00766F89"/>
    <w:rsid w:val="0077146C"/>
    <w:rsid w:val="00771950"/>
    <w:rsid w:val="007743CF"/>
    <w:rsid w:val="0077455D"/>
    <w:rsid w:val="0077470E"/>
    <w:rsid w:val="0077525F"/>
    <w:rsid w:val="00780006"/>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BD5"/>
    <w:rsid w:val="00797409"/>
    <w:rsid w:val="00797C1E"/>
    <w:rsid w:val="007A000B"/>
    <w:rsid w:val="007A0111"/>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D7BD1"/>
    <w:rsid w:val="007E241E"/>
    <w:rsid w:val="007E26EB"/>
    <w:rsid w:val="007E2E84"/>
    <w:rsid w:val="007E6072"/>
    <w:rsid w:val="007E6508"/>
    <w:rsid w:val="007F098D"/>
    <w:rsid w:val="007F0EE3"/>
    <w:rsid w:val="007F1522"/>
    <w:rsid w:val="007F1532"/>
    <w:rsid w:val="007F1E09"/>
    <w:rsid w:val="007F2A1C"/>
    <w:rsid w:val="007F399E"/>
    <w:rsid w:val="007F6AE7"/>
    <w:rsid w:val="00801282"/>
    <w:rsid w:val="00801448"/>
    <w:rsid w:val="00801AA8"/>
    <w:rsid w:val="00801D15"/>
    <w:rsid w:val="008028AF"/>
    <w:rsid w:val="00807DD6"/>
    <w:rsid w:val="008102DA"/>
    <w:rsid w:val="008103AD"/>
    <w:rsid w:val="00810C03"/>
    <w:rsid w:val="008112B6"/>
    <w:rsid w:val="00813D6F"/>
    <w:rsid w:val="00813DEA"/>
    <w:rsid w:val="00814556"/>
    <w:rsid w:val="00815528"/>
    <w:rsid w:val="008161DA"/>
    <w:rsid w:val="00817C34"/>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41E8"/>
    <w:rsid w:val="00856217"/>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42C2"/>
    <w:rsid w:val="008949CB"/>
    <w:rsid w:val="008968A2"/>
    <w:rsid w:val="00896B2A"/>
    <w:rsid w:val="008973E4"/>
    <w:rsid w:val="008A02C4"/>
    <w:rsid w:val="008A191D"/>
    <w:rsid w:val="008A1B98"/>
    <w:rsid w:val="008A345A"/>
    <w:rsid w:val="008A376E"/>
    <w:rsid w:val="008A415B"/>
    <w:rsid w:val="008A4E4E"/>
    <w:rsid w:val="008A5510"/>
    <w:rsid w:val="008A6D96"/>
    <w:rsid w:val="008A70F0"/>
    <w:rsid w:val="008B00EB"/>
    <w:rsid w:val="008B11ED"/>
    <w:rsid w:val="008B21C7"/>
    <w:rsid w:val="008B2BE5"/>
    <w:rsid w:val="008B2D0C"/>
    <w:rsid w:val="008B38EA"/>
    <w:rsid w:val="008B42BC"/>
    <w:rsid w:val="008B5240"/>
    <w:rsid w:val="008B5AD2"/>
    <w:rsid w:val="008B621F"/>
    <w:rsid w:val="008B6B78"/>
    <w:rsid w:val="008B6E49"/>
    <w:rsid w:val="008C058F"/>
    <w:rsid w:val="008C05B7"/>
    <w:rsid w:val="008C1AAE"/>
    <w:rsid w:val="008C2447"/>
    <w:rsid w:val="008C26E6"/>
    <w:rsid w:val="008C2FEA"/>
    <w:rsid w:val="008C357A"/>
    <w:rsid w:val="008C4D7C"/>
    <w:rsid w:val="008C64FA"/>
    <w:rsid w:val="008C6E90"/>
    <w:rsid w:val="008C75E7"/>
    <w:rsid w:val="008C76DA"/>
    <w:rsid w:val="008D1229"/>
    <w:rsid w:val="008D2225"/>
    <w:rsid w:val="008D2656"/>
    <w:rsid w:val="008D3BAB"/>
    <w:rsid w:val="008D5BE2"/>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6753"/>
    <w:rsid w:val="0092742E"/>
    <w:rsid w:val="009323AD"/>
    <w:rsid w:val="0093689D"/>
    <w:rsid w:val="00936F08"/>
    <w:rsid w:val="00937601"/>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2D7F"/>
    <w:rsid w:val="009657FB"/>
    <w:rsid w:val="009661FA"/>
    <w:rsid w:val="0096793B"/>
    <w:rsid w:val="009703F1"/>
    <w:rsid w:val="00971779"/>
    <w:rsid w:val="0097251E"/>
    <w:rsid w:val="00973410"/>
    <w:rsid w:val="009745F1"/>
    <w:rsid w:val="00974B54"/>
    <w:rsid w:val="0097564C"/>
    <w:rsid w:val="00975D5E"/>
    <w:rsid w:val="00975D88"/>
    <w:rsid w:val="00981448"/>
    <w:rsid w:val="00981BCC"/>
    <w:rsid w:val="009825B0"/>
    <w:rsid w:val="009836FE"/>
    <w:rsid w:val="00983CE3"/>
    <w:rsid w:val="00984589"/>
    <w:rsid w:val="009860E2"/>
    <w:rsid w:val="00986317"/>
    <w:rsid w:val="00986B1B"/>
    <w:rsid w:val="00987B25"/>
    <w:rsid w:val="00991256"/>
    <w:rsid w:val="009923E2"/>
    <w:rsid w:val="00993200"/>
    <w:rsid w:val="00993488"/>
    <w:rsid w:val="00993D5D"/>
    <w:rsid w:val="0099421C"/>
    <w:rsid w:val="009955E2"/>
    <w:rsid w:val="0099560D"/>
    <w:rsid w:val="0099572B"/>
    <w:rsid w:val="009960D2"/>
    <w:rsid w:val="00996B9C"/>
    <w:rsid w:val="00996DA4"/>
    <w:rsid w:val="0099753D"/>
    <w:rsid w:val="009A0CD9"/>
    <w:rsid w:val="009A34F4"/>
    <w:rsid w:val="009A5061"/>
    <w:rsid w:val="009A54D1"/>
    <w:rsid w:val="009A56AD"/>
    <w:rsid w:val="009A6D6D"/>
    <w:rsid w:val="009A7C91"/>
    <w:rsid w:val="009B0A9B"/>
    <w:rsid w:val="009B17E6"/>
    <w:rsid w:val="009B1F9D"/>
    <w:rsid w:val="009B341C"/>
    <w:rsid w:val="009B3CAD"/>
    <w:rsid w:val="009B7F85"/>
    <w:rsid w:val="009C06A6"/>
    <w:rsid w:val="009C11F1"/>
    <w:rsid w:val="009C1E8D"/>
    <w:rsid w:val="009C2265"/>
    <w:rsid w:val="009C2713"/>
    <w:rsid w:val="009C2A5D"/>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DA4"/>
    <w:rsid w:val="009D7966"/>
    <w:rsid w:val="009D7A6F"/>
    <w:rsid w:val="009D7A83"/>
    <w:rsid w:val="009E2FDE"/>
    <w:rsid w:val="009E3097"/>
    <w:rsid w:val="009E33CB"/>
    <w:rsid w:val="009E497C"/>
    <w:rsid w:val="009E4B74"/>
    <w:rsid w:val="009E4BCF"/>
    <w:rsid w:val="009E50E1"/>
    <w:rsid w:val="009E5D9E"/>
    <w:rsid w:val="009E7CF8"/>
    <w:rsid w:val="009F152B"/>
    <w:rsid w:val="009F4337"/>
    <w:rsid w:val="009F4396"/>
    <w:rsid w:val="009F52CF"/>
    <w:rsid w:val="009F6193"/>
    <w:rsid w:val="00A01651"/>
    <w:rsid w:val="00A02283"/>
    <w:rsid w:val="00A04C00"/>
    <w:rsid w:val="00A077BC"/>
    <w:rsid w:val="00A105BF"/>
    <w:rsid w:val="00A11550"/>
    <w:rsid w:val="00A15189"/>
    <w:rsid w:val="00A2005A"/>
    <w:rsid w:val="00A21723"/>
    <w:rsid w:val="00A22823"/>
    <w:rsid w:val="00A247AE"/>
    <w:rsid w:val="00A26844"/>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E13"/>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71605"/>
    <w:rsid w:val="00A73C31"/>
    <w:rsid w:val="00A74480"/>
    <w:rsid w:val="00A76A62"/>
    <w:rsid w:val="00A85079"/>
    <w:rsid w:val="00A9019E"/>
    <w:rsid w:val="00A90CCB"/>
    <w:rsid w:val="00A92244"/>
    <w:rsid w:val="00A92297"/>
    <w:rsid w:val="00A928F8"/>
    <w:rsid w:val="00A95F96"/>
    <w:rsid w:val="00AA140F"/>
    <w:rsid w:val="00AA164F"/>
    <w:rsid w:val="00AA381E"/>
    <w:rsid w:val="00AA4DD6"/>
    <w:rsid w:val="00AA5456"/>
    <w:rsid w:val="00AA60AE"/>
    <w:rsid w:val="00AA7038"/>
    <w:rsid w:val="00AA7EA0"/>
    <w:rsid w:val="00AB287A"/>
    <w:rsid w:val="00AB5F21"/>
    <w:rsid w:val="00AB66F2"/>
    <w:rsid w:val="00AC10F6"/>
    <w:rsid w:val="00AC1D79"/>
    <w:rsid w:val="00AC26CF"/>
    <w:rsid w:val="00AC3CED"/>
    <w:rsid w:val="00AC4E4D"/>
    <w:rsid w:val="00AC538E"/>
    <w:rsid w:val="00AC7560"/>
    <w:rsid w:val="00AC7E26"/>
    <w:rsid w:val="00AD0D63"/>
    <w:rsid w:val="00AD10E7"/>
    <w:rsid w:val="00AD17AE"/>
    <w:rsid w:val="00AD1F7B"/>
    <w:rsid w:val="00AD1F84"/>
    <w:rsid w:val="00AD3441"/>
    <w:rsid w:val="00AD7C61"/>
    <w:rsid w:val="00AE0123"/>
    <w:rsid w:val="00AE1035"/>
    <w:rsid w:val="00AE114E"/>
    <w:rsid w:val="00AE2949"/>
    <w:rsid w:val="00AE3B84"/>
    <w:rsid w:val="00AE4234"/>
    <w:rsid w:val="00AE7DF8"/>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4FFB"/>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4DC"/>
    <w:rsid w:val="00B3054F"/>
    <w:rsid w:val="00B31CA8"/>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1319"/>
    <w:rsid w:val="00B5221A"/>
    <w:rsid w:val="00B5515B"/>
    <w:rsid w:val="00B625A0"/>
    <w:rsid w:val="00B63117"/>
    <w:rsid w:val="00B6369C"/>
    <w:rsid w:val="00B64100"/>
    <w:rsid w:val="00B657CC"/>
    <w:rsid w:val="00B65F2B"/>
    <w:rsid w:val="00B70A8E"/>
    <w:rsid w:val="00B74D19"/>
    <w:rsid w:val="00B752BD"/>
    <w:rsid w:val="00B7633E"/>
    <w:rsid w:val="00B76613"/>
    <w:rsid w:val="00B76DEC"/>
    <w:rsid w:val="00B7776D"/>
    <w:rsid w:val="00B808B7"/>
    <w:rsid w:val="00B81812"/>
    <w:rsid w:val="00B82901"/>
    <w:rsid w:val="00B832E0"/>
    <w:rsid w:val="00B83FC8"/>
    <w:rsid w:val="00B85B09"/>
    <w:rsid w:val="00B864A1"/>
    <w:rsid w:val="00B87052"/>
    <w:rsid w:val="00B871FC"/>
    <w:rsid w:val="00B87703"/>
    <w:rsid w:val="00B9027D"/>
    <w:rsid w:val="00B9139B"/>
    <w:rsid w:val="00B93121"/>
    <w:rsid w:val="00B9318E"/>
    <w:rsid w:val="00B93D9E"/>
    <w:rsid w:val="00B941B8"/>
    <w:rsid w:val="00B94D38"/>
    <w:rsid w:val="00B9580E"/>
    <w:rsid w:val="00B95D70"/>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B71"/>
    <w:rsid w:val="00BD0A4B"/>
    <w:rsid w:val="00BD1352"/>
    <w:rsid w:val="00BD22B5"/>
    <w:rsid w:val="00BD25E0"/>
    <w:rsid w:val="00BD6AA4"/>
    <w:rsid w:val="00BD7AB6"/>
    <w:rsid w:val="00BE0340"/>
    <w:rsid w:val="00BE0B1A"/>
    <w:rsid w:val="00BE1E99"/>
    <w:rsid w:val="00BE33BB"/>
    <w:rsid w:val="00BE655C"/>
    <w:rsid w:val="00BE69ED"/>
    <w:rsid w:val="00BE7571"/>
    <w:rsid w:val="00BE7956"/>
    <w:rsid w:val="00BE7CC5"/>
    <w:rsid w:val="00BF0941"/>
    <w:rsid w:val="00BF0F38"/>
    <w:rsid w:val="00BF1404"/>
    <w:rsid w:val="00BF2346"/>
    <w:rsid w:val="00BF24D7"/>
    <w:rsid w:val="00BF5126"/>
    <w:rsid w:val="00BF66DA"/>
    <w:rsid w:val="00BF69BD"/>
    <w:rsid w:val="00C032FB"/>
    <w:rsid w:val="00C03B02"/>
    <w:rsid w:val="00C03F27"/>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362B"/>
    <w:rsid w:val="00C33C01"/>
    <w:rsid w:val="00C346DC"/>
    <w:rsid w:val="00C353A1"/>
    <w:rsid w:val="00C3692D"/>
    <w:rsid w:val="00C37D46"/>
    <w:rsid w:val="00C4091F"/>
    <w:rsid w:val="00C41CA2"/>
    <w:rsid w:val="00C421EC"/>
    <w:rsid w:val="00C426E2"/>
    <w:rsid w:val="00C42B26"/>
    <w:rsid w:val="00C43BA5"/>
    <w:rsid w:val="00C447CF"/>
    <w:rsid w:val="00C45690"/>
    <w:rsid w:val="00C46658"/>
    <w:rsid w:val="00C46E49"/>
    <w:rsid w:val="00C5087D"/>
    <w:rsid w:val="00C50BEC"/>
    <w:rsid w:val="00C52221"/>
    <w:rsid w:val="00C52736"/>
    <w:rsid w:val="00C53859"/>
    <w:rsid w:val="00C53A54"/>
    <w:rsid w:val="00C53BF3"/>
    <w:rsid w:val="00C53D37"/>
    <w:rsid w:val="00C53E5E"/>
    <w:rsid w:val="00C55F6B"/>
    <w:rsid w:val="00C5676B"/>
    <w:rsid w:val="00C63F4B"/>
    <w:rsid w:val="00C64AC9"/>
    <w:rsid w:val="00C64DF3"/>
    <w:rsid w:val="00C6504E"/>
    <w:rsid w:val="00C6726B"/>
    <w:rsid w:val="00C72129"/>
    <w:rsid w:val="00C7249B"/>
    <w:rsid w:val="00C72705"/>
    <w:rsid w:val="00C72BF0"/>
    <w:rsid w:val="00C72CDB"/>
    <w:rsid w:val="00C73524"/>
    <w:rsid w:val="00C7431A"/>
    <w:rsid w:val="00C74A20"/>
    <w:rsid w:val="00C7569E"/>
    <w:rsid w:val="00C77B26"/>
    <w:rsid w:val="00C82727"/>
    <w:rsid w:val="00C840DB"/>
    <w:rsid w:val="00C84A6F"/>
    <w:rsid w:val="00C865CD"/>
    <w:rsid w:val="00C90E80"/>
    <w:rsid w:val="00C91349"/>
    <w:rsid w:val="00C91D7B"/>
    <w:rsid w:val="00C92171"/>
    <w:rsid w:val="00C92598"/>
    <w:rsid w:val="00C92A27"/>
    <w:rsid w:val="00C943D1"/>
    <w:rsid w:val="00C9459B"/>
    <w:rsid w:val="00C946BD"/>
    <w:rsid w:val="00C95AB6"/>
    <w:rsid w:val="00C9601B"/>
    <w:rsid w:val="00C97FB0"/>
    <w:rsid w:val="00CA2DC1"/>
    <w:rsid w:val="00CA2E88"/>
    <w:rsid w:val="00CA445C"/>
    <w:rsid w:val="00CA463C"/>
    <w:rsid w:val="00CA4ACB"/>
    <w:rsid w:val="00CA57FB"/>
    <w:rsid w:val="00CA69C3"/>
    <w:rsid w:val="00CA7C33"/>
    <w:rsid w:val="00CB0039"/>
    <w:rsid w:val="00CB0816"/>
    <w:rsid w:val="00CB206B"/>
    <w:rsid w:val="00CB29DC"/>
    <w:rsid w:val="00CB424E"/>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42A"/>
    <w:rsid w:val="00CE171B"/>
    <w:rsid w:val="00CE619C"/>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13F5"/>
    <w:rsid w:val="00D11673"/>
    <w:rsid w:val="00D13970"/>
    <w:rsid w:val="00D14740"/>
    <w:rsid w:val="00D14D75"/>
    <w:rsid w:val="00D1628B"/>
    <w:rsid w:val="00D1763F"/>
    <w:rsid w:val="00D17F5E"/>
    <w:rsid w:val="00D20708"/>
    <w:rsid w:val="00D2423C"/>
    <w:rsid w:val="00D24665"/>
    <w:rsid w:val="00D25014"/>
    <w:rsid w:val="00D255E6"/>
    <w:rsid w:val="00D25E49"/>
    <w:rsid w:val="00D260C9"/>
    <w:rsid w:val="00D26CC9"/>
    <w:rsid w:val="00D26D84"/>
    <w:rsid w:val="00D26DFC"/>
    <w:rsid w:val="00D26EFE"/>
    <w:rsid w:val="00D27F8B"/>
    <w:rsid w:val="00D30814"/>
    <w:rsid w:val="00D33553"/>
    <w:rsid w:val="00D33728"/>
    <w:rsid w:val="00D356C3"/>
    <w:rsid w:val="00D35740"/>
    <w:rsid w:val="00D36602"/>
    <w:rsid w:val="00D37062"/>
    <w:rsid w:val="00D37AA7"/>
    <w:rsid w:val="00D409B6"/>
    <w:rsid w:val="00D41466"/>
    <w:rsid w:val="00D41B42"/>
    <w:rsid w:val="00D41DD4"/>
    <w:rsid w:val="00D44180"/>
    <w:rsid w:val="00D46093"/>
    <w:rsid w:val="00D4664A"/>
    <w:rsid w:val="00D46AA1"/>
    <w:rsid w:val="00D4776D"/>
    <w:rsid w:val="00D50085"/>
    <w:rsid w:val="00D51BE6"/>
    <w:rsid w:val="00D54EB3"/>
    <w:rsid w:val="00D55BB5"/>
    <w:rsid w:val="00D56051"/>
    <w:rsid w:val="00D56547"/>
    <w:rsid w:val="00D56641"/>
    <w:rsid w:val="00D56E1B"/>
    <w:rsid w:val="00D579FB"/>
    <w:rsid w:val="00D6065A"/>
    <w:rsid w:val="00D61B3B"/>
    <w:rsid w:val="00D61B3C"/>
    <w:rsid w:val="00D61FA0"/>
    <w:rsid w:val="00D6364F"/>
    <w:rsid w:val="00D64A55"/>
    <w:rsid w:val="00D679D3"/>
    <w:rsid w:val="00D71918"/>
    <w:rsid w:val="00D72245"/>
    <w:rsid w:val="00D722D2"/>
    <w:rsid w:val="00D72A0A"/>
    <w:rsid w:val="00D72CD7"/>
    <w:rsid w:val="00D74071"/>
    <w:rsid w:val="00D747AA"/>
    <w:rsid w:val="00D769F1"/>
    <w:rsid w:val="00D80F85"/>
    <w:rsid w:val="00D81AEE"/>
    <w:rsid w:val="00D82337"/>
    <w:rsid w:val="00D82F7B"/>
    <w:rsid w:val="00D830B2"/>
    <w:rsid w:val="00D834CA"/>
    <w:rsid w:val="00D83678"/>
    <w:rsid w:val="00D83FE9"/>
    <w:rsid w:val="00D85E96"/>
    <w:rsid w:val="00D85F8B"/>
    <w:rsid w:val="00D8602A"/>
    <w:rsid w:val="00D87D0F"/>
    <w:rsid w:val="00D90DD3"/>
    <w:rsid w:val="00D93425"/>
    <w:rsid w:val="00D93814"/>
    <w:rsid w:val="00D942D0"/>
    <w:rsid w:val="00D94648"/>
    <w:rsid w:val="00D94719"/>
    <w:rsid w:val="00D961B0"/>
    <w:rsid w:val="00D97264"/>
    <w:rsid w:val="00DA046C"/>
    <w:rsid w:val="00DA0D65"/>
    <w:rsid w:val="00DA1358"/>
    <w:rsid w:val="00DA1671"/>
    <w:rsid w:val="00DA1748"/>
    <w:rsid w:val="00DA3F0C"/>
    <w:rsid w:val="00DA48E4"/>
    <w:rsid w:val="00DA5478"/>
    <w:rsid w:val="00DA74CE"/>
    <w:rsid w:val="00DB2B4A"/>
    <w:rsid w:val="00DB34D2"/>
    <w:rsid w:val="00DB5243"/>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D7E0A"/>
    <w:rsid w:val="00DE1D92"/>
    <w:rsid w:val="00DE3211"/>
    <w:rsid w:val="00DE4CDB"/>
    <w:rsid w:val="00DE4DC0"/>
    <w:rsid w:val="00DE656B"/>
    <w:rsid w:val="00DE7C25"/>
    <w:rsid w:val="00DF0893"/>
    <w:rsid w:val="00DF1C1E"/>
    <w:rsid w:val="00DF29BE"/>
    <w:rsid w:val="00DF7BF7"/>
    <w:rsid w:val="00E00C12"/>
    <w:rsid w:val="00E01395"/>
    <w:rsid w:val="00E015D8"/>
    <w:rsid w:val="00E016A6"/>
    <w:rsid w:val="00E03EC4"/>
    <w:rsid w:val="00E060E8"/>
    <w:rsid w:val="00E0727E"/>
    <w:rsid w:val="00E107A4"/>
    <w:rsid w:val="00E1117E"/>
    <w:rsid w:val="00E11F3A"/>
    <w:rsid w:val="00E13D0D"/>
    <w:rsid w:val="00E15A2B"/>
    <w:rsid w:val="00E15F76"/>
    <w:rsid w:val="00E232CC"/>
    <w:rsid w:val="00E26CB8"/>
    <w:rsid w:val="00E3040C"/>
    <w:rsid w:val="00E305AB"/>
    <w:rsid w:val="00E30DD9"/>
    <w:rsid w:val="00E36CD0"/>
    <w:rsid w:val="00E374AD"/>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5ABB"/>
    <w:rsid w:val="00E670FF"/>
    <w:rsid w:val="00E67381"/>
    <w:rsid w:val="00E73603"/>
    <w:rsid w:val="00E74273"/>
    <w:rsid w:val="00E74C8E"/>
    <w:rsid w:val="00E75DEC"/>
    <w:rsid w:val="00E81AA8"/>
    <w:rsid w:val="00E81F8F"/>
    <w:rsid w:val="00E82F29"/>
    <w:rsid w:val="00E83CD4"/>
    <w:rsid w:val="00E85785"/>
    <w:rsid w:val="00E901FB"/>
    <w:rsid w:val="00E90927"/>
    <w:rsid w:val="00E90A2D"/>
    <w:rsid w:val="00E911C4"/>
    <w:rsid w:val="00E91463"/>
    <w:rsid w:val="00E949AF"/>
    <w:rsid w:val="00E96896"/>
    <w:rsid w:val="00EA019F"/>
    <w:rsid w:val="00EA0A42"/>
    <w:rsid w:val="00EA146B"/>
    <w:rsid w:val="00EA28E7"/>
    <w:rsid w:val="00EA316C"/>
    <w:rsid w:val="00EA73F5"/>
    <w:rsid w:val="00EB1B29"/>
    <w:rsid w:val="00EB272C"/>
    <w:rsid w:val="00EB3FBF"/>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A03"/>
    <w:rsid w:val="00EE4DB5"/>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48E2"/>
    <w:rsid w:val="00F07B25"/>
    <w:rsid w:val="00F11A1F"/>
    <w:rsid w:val="00F14D2D"/>
    <w:rsid w:val="00F15345"/>
    <w:rsid w:val="00F1552A"/>
    <w:rsid w:val="00F20BFA"/>
    <w:rsid w:val="00F25144"/>
    <w:rsid w:val="00F27155"/>
    <w:rsid w:val="00F30B7C"/>
    <w:rsid w:val="00F321CB"/>
    <w:rsid w:val="00F329C8"/>
    <w:rsid w:val="00F33D4F"/>
    <w:rsid w:val="00F34143"/>
    <w:rsid w:val="00F3580A"/>
    <w:rsid w:val="00F3606E"/>
    <w:rsid w:val="00F40933"/>
    <w:rsid w:val="00F40D46"/>
    <w:rsid w:val="00F41A7E"/>
    <w:rsid w:val="00F41FA2"/>
    <w:rsid w:val="00F42B64"/>
    <w:rsid w:val="00F4320F"/>
    <w:rsid w:val="00F43DB8"/>
    <w:rsid w:val="00F44420"/>
    <w:rsid w:val="00F46F9C"/>
    <w:rsid w:val="00F478E5"/>
    <w:rsid w:val="00F50301"/>
    <w:rsid w:val="00F50827"/>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795"/>
    <w:rsid w:val="00F968A0"/>
    <w:rsid w:val="00F97696"/>
    <w:rsid w:val="00F97830"/>
    <w:rsid w:val="00F978D3"/>
    <w:rsid w:val="00FA3361"/>
    <w:rsid w:val="00FA3E4E"/>
    <w:rsid w:val="00FA3ECD"/>
    <w:rsid w:val="00FA4251"/>
    <w:rsid w:val="00FA7BC1"/>
    <w:rsid w:val="00FB26AE"/>
    <w:rsid w:val="00FB2F14"/>
    <w:rsid w:val="00FB41C9"/>
    <w:rsid w:val="00FB5DF3"/>
    <w:rsid w:val="00FC06C7"/>
    <w:rsid w:val="00FC0C2A"/>
    <w:rsid w:val="00FC27CD"/>
    <w:rsid w:val="00FC3A33"/>
    <w:rsid w:val="00FC430E"/>
    <w:rsid w:val="00FC433B"/>
    <w:rsid w:val="00FC4C2F"/>
    <w:rsid w:val="00FC4E09"/>
    <w:rsid w:val="00FC546B"/>
    <w:rsid w:val="00FC6484"/>
    <w:rsid w:val="00FC728E"/>
    <w:rsid w:val="00FC7AC5"/>
    <w:rsid w:val="00FC7FB9"/>
    <w:rsid w:val="00FD1225"/>
    <w:rsid w:val="00FD14B0"/>
    <w:rsid w:val="00FD2084"/>
    <w:rsid w:val="00FD2D8F"/>
    <w:rsid w:val="00FD2D9A"/>
    <w:rsid w:val="00FD642F"/>
    <w:rsid w:val="00FD70A9"/>
    <w:rsid w:val="00FD770D"/>
    <w:rsid w:val="00FE1B0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76037"/>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0430C-4B09-4589-BB3C-53BE74C7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3077</TotalTime>
  <Pages>7</Pages>
  <Words>2624</Words>
  <Characters>14962</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73</cp:revision>
  <dcterms:created xsi:type="dcterms:W3CDTF">2023-02-09T05:00:00Z</dcterms:created>
  <dcterms:modified xsi:type="dcterms:W3CDTF">2024-04-05T13:25:00Z</dcterms:modified>
</cp:coreProperties>
</file>